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1C088" w14:textId="02ADD9E2" w:rsidR="002D45B1" w:rsidRPr="0063740C" w:rsidRDefault="002D45B1" w:rsidP="002D45B1">
      <w:pPr>
        <w:pStyle w:val="ACNormln"/>
        <w:spacing w:before="0"/>
        <w:jc w:val="left"/>
        <w:outlineLvl w:val="0"/>
        <w:rPr>
          <w:rFonts w:ascii="Calibri" w:hAnsi="Calibri" w:cs="Calibri"/>
          <w:b/>
          <w:sz w:val="28"/>
          <w:szCs w:val="28"/>
        </w:rPr>
      </w:pPr>
      <w:r w:rsidRPr="0063740C">
        <w:rPr>
          <w:rFonts w:ascii="Calibri" w:hAnsi="Calibri" w:cs="Calibri"/>
          <w:b/>
          <w:sz w:val="28"/>
          <w:szCs w:val="28"/>
        </w:rPr>
        <w:t xml:space="preserve">Příloha č. 3 </w:t>
      </w:r>
      <w:r w:rsidR="0063740C">
        <w:rPr>
          <w:rFonts w:ascii="Calibri" w:hAnsi="Calibri" w:cs="Calibri"/>
          <w:b/>
          <w:sz w:val="28"/>
          <w:szCs w:val="28"/>
        </w:rPr>
        <w:t>zadávací dokumentace</w:t>
      </w:r>
      <w:r w:rsidR="00704C78" w:rsidRPr="0063740C">
        <w:rPr>
          <w:rFonts w:ascii="Calibri" w:hAnsi="Calibri" w:cs="Calibri"/>
          <w:b/>
          <w:sz w:val="28"/>
          <w:szCs w:val="28"/>
        </w:rPr>
        <w:t xml:space="preserve"> – Závazný návrh </w:t>
      </w:r>
      <w:r w:rsidR="0063740C">
        <w:rPr>
          <w:rFonts w:ascii="Calibri" w:hAnsi="Calibri" w:cs="Calibri"/>
          <w:b/>
          <w:sz w:val="28"/>
          <w:szCs w:val="28"/>
        </w:rPr>
        <w:t>k</w:t>
      </w:r>
      <w:r w:rsidR="00704C78" w:rsidRPr="0063740C">
        <w:rPr>
          <w:rFonts w:ascii="Calibri" w:hAnsi="Calibri" w:cs="Calibri"/>
          <w:b/>
          <w:sz w:val="28"/>
          <w:szCs w:val="28"/>
        </w:rPr>
        <w:t>upní smlouvy</w:t>
      </w:r>
    </w:p>
    <w:p w14:paraId="1579C56C" w14:textId="77777777" w:rsidR="002D45B1" w:rsidRDefault="002D45B1" w:rsidP="004A4DDF">
      <w:pPr>
        <w:pStyle w:val="ACNormln"/>
        <w:spacing w:before="0"/>
        <w:jc w:val="center"/>
        <w:outlineLvl w:val="0"/>
        <w:rPr>
          <w:rFonts w:ascii="Arial" w:hAnsi="Arial" w:cs="Arial"/>
          <w:b/>
          <w:sz w:val="32"/>
          <w:szCs w:val="32"/>
        </w:rPr>
      </w:pPr>
    </w:p>
    <w:p w14:paraId="5347CBCA" w14:textId="7C9B768D"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p>
    <w:p w14:paraId="0461E38C" w14:textId="77777777"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3A631933" w14:textId="77777777" w:rsidR="00420FB8" w:rsidRPr="004A4DDF" w:rsidRDefault="00420FB8" w:rsidP="004A4DDF">
      <w:pPr>
        <w:pStyle w:val="ACNormln"/>
        <w:spacing w:before="0"/>
        <w:jc w:val="center"/>
        <w:outlineLvl w:val="0"/>
        <w:rPr>
          <w:sz w:val="24"/>
        </w:rPr>
      </w:pPr>
    </w:p>
    <w:p w14:paraId="06CA7ADE" w14:textId="77777777" w:rsidR="005C1633" w:rsidRPr="005C1633" w:rsidRDefault="005C1633" w:rsidP="005C1633">
      <w:pPr>
        <w:tabs>
          <w:tab w:val="left" w:pos="2268"/>
        </w:tabs>
        <w:autoSpaceDN w:val="0"/>
        <w:spacing w:after="0"/>
        <w:rPr>
          <w:sz w:val="24"/>
        </w:rPr>
      </w:pPr>
      <w:r w:rsidRPr="005C1633">
        <w:rPr>
          <w:b/>
          <w:sz w:val="24"/>
        </w:rPr>
        <w:t>Nemocnice Pardubického kraje, a.s.</w:t>
      </w:r>
    </w:p>
    <w:p w14:paraId="20D8591D"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26DF656F"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63431A21"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03E1037A" w14:textId="66488015" w:rsidR="00062834" w:rsidRPr="009B25BF" w:rsidRDefault="00062834" w:rsidP="00062834">
      <w:pPr>
        <w:tabs>
          <w:tab w:val="left" w:pos="2268"/>
        </w:tabs>
        <w:autoSpaceDN w:val="0"/>
        <w:spacing w:after="0"/>
      </w:pPr>
      <w:r w:rsidRPr="009B25BF">
        <w:t xml:space="preserve">Zastoupená: </w:t>
      </w:r>
      <w:r w:rsidRPr="009B25BF">
        <w:tab/>
        <w:t>MUDr. Tomášem Gottvaldem,</w:t>
      </w:r>
      <w:r>
        <w:t xml:space="preserve"> MHA, </w:t>
      </w:r>
      <w:r w:rsidRPr="009B25BF">
        <w:t xml:space="preserve">předsedou představenstva </w:t>
      </w:r>
    </w:p>
    <w:p w14:paraId="6A4F15CA" w14:textId="77777777" w:rsidR="00062834" w:rsidRPr="009B07A9" w:rsidRDefault="00062834" w:rsidP="00062834">
      <w:pPr>
        <w:tabs>
          <w:tab w:val="left" w:pos="2268"/>
        </w:tabs>
        <w:autoSpaceDN w:val="0"/>
        <w:spacing w:after="60" w:line="240" w:lineRule="auto"/>
      </w:pPr>
      <w:r w:rsidRPr="009B07A9">
        <w:t xml:space="preserve">  </w:t>
      </w:r>
      <w:r w:rsidRPr="009B07A9">
        <w:tab/>
      </w:r>
      <w:r>
        <w:t xml:space="preserve">Ing. Petrem Vrbou, místopředsedou </w:t>
      </w:r>
      <w:r w:rsidRPr="009B07A9">
        <w:t>představenstva</w:t>
      </w:r>
    </w:p>
    <w:p w14:paraId="2DAC59EB" w14:textId="4C660601" w:rsidR="005C1633" w:rsidRDefault="00401355" w:rsidP="00401355">
      <w:pPr>
        <w:tabs>
          <w:tab w:val="left" w:pos="2268"/>
        </w:tabs>
        <w:autoSpaceDN w:val="0"/>
        <w:spacing w:after="0"/>
      </w:pPr>
      <w:r>
        <w:t>Bankovní spojení</w:t>
      </w:r>
      <w:r w:rsidR="005C1633" w:rsidRPr="00AD1C61">
        <w:t xml:space="preserve">: </w:t>
      </w:r>
      <w:r>
        <w:tab/>
      </w:r>
      <w:r w:rsidR="00694AB8">
        <w:t>Československá obchodní banka, a.s.</w:t>
      </w:r>
    </w:p>
    <w:p w14:paraId="48026469"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1ED2FA65"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EDCBDE6" w14:textId="77777777"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156DE5CB" w14:textId="77777777" w:rsidR="005C1633" w:rsidRPr="00FD0221" w:rsidRDefault="005C1633" w:rsidP="005C1633">
      <w:pPr>
        <w:tabs>
          <w:tab w:val="left" w:pos="2268"/>
        </w:tabs>
        <w:autoSpaceDN w:val="0"/>
        <w:spacing w:after="0"/>
      </w:pPr>
    </w:p>
    <w:p w14:paraId="341549EE" w14:textId="77777777" w:rsidR="005C1633" w:rsidRPr="00FD0221" w:rsidRDefault="005C1633" w:rsidP="005C1633">
      <w:pPr>
        <w:tabs>
          <w:tab w:val="left" w:pos="2268"/>
        </w:tabs>
        <w:autoSpaceDN w:val="0"/>
        <w:spacing w:after="0"/>
        <w:ind w:firstLine="2268"/>
        <w:rPr>
          <w:b/>
        </w:rPr>
      </w:pPr>
      <w:r w:rsidRPr="00FD0221">
        <w:rPr>
          <w:b/>
        </w:rPr>
        <w:t>a</w:t>
      </w:r>
    </w:p>
    <w:p w14:paraId="2FC1F73E" w14:textId="77777777" w:rsidR="005C1633" w:rsidRPr="00FD0221" w:rsidRDefault="005C1633" w:rsidP="005C1633">
      <w:pPr>
        <w:tabs>
          <w:tab w:val="left" w:pos="2268"/>
        </w:tabs>
        <w:autoSpaceDN w:val="0"/>
        <w:spacing w:after="0"/>
        <w:ind w:firstLine="2268"/>
      </w:pPr>
    </w:p>
    <w:p w14:paraId="3F36DFD0" w14:textId="1BBCBB23" w:rsidR="005C1633" w:rsidRPr="00FD0221" w:rsidRDefault="00694AB8" w:rsidP="005C1633">
      <w:pPr>
        <w:tabs>
          <w:tab w:val="left" w:pos="2268"/>
          <w:tab w:val="left" w:pos="2835"/>
          <w:tab w:val="left" w:pos="3828"/>
        </w:tabs>
        <w:autoSpaceDN w:val="0"/>
        <w:spacing w:after="0"/>
        <w:rPr>
          <w:b/>
        </w:rPr>
      </w:pPr>
      <w:r>
        <w:rPr>
          <w:b/>
        </w:rPr>
        <w:t>…………………………………………………………</w:t>
      </w:r>
      <w:proofErr w:type="gramStart"/>
      <w:r>
        <w:rPr>
          <w:b/>
        </w:rPr>
        <w:t>…….</w:t>
      </w:r>
      <w:proofErr w:type="gramEnd"/>
      <w:r w:rsidR="005C1633">
        <w:rPr>
          <w:b/>
        </w:rPr>
        <w:t>Jméno firmy</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373503AF" w14:textId="464D4213"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694AB8" w:rsidRPr="00694AB8">
        <w:rPr>
          <w:iCs/>
        </w:rPr>
        <w:t>…………………………</w:t>
      </w:r>
      <w:r w:rsidR="00694AB8">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07DB113E" w14:textId="4C7B0FAD"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694AB8" w:rsidRPr="00694AB8">
        <w:rPr>
          <w:iCs/>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7A3121A1" w14:textId="51C38FA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694AB8" w:rsidRPr="00694AB8">
        <w:rPr>
          <w:iCs/>
        </w:rPr>
        <w:t>…………………………</w:t>
      </w:r>
      <w:r w:rsidR="00694AB8">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49E420D6" w14:textId="26F2559E"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694AB8" w:rsidRPr="00694AB8">
        <w:rPr>
          <w:iCs/>
        </w:rPr>
        <w:t>…………………………</w:t>
      </w:r>
      <w:r w:rsidR="00694AB8">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FCC9B9D" w14:textId="5920954F"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694AB8" w:rsidRPr="00694AB8">
        <w:rPr>
          <w:iCs/>
        </w:rPr>
        <w:t>…………………………</w:t>
      </w:r>
      <w:r w:rsidR="00694AB8">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777AC91F" w14:textId="78E5443B"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694AB8" w:rsidRPr="00694AB8">
        <w:rPr>
          <w:iCs/>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3C82AA77" w14:textId="2A13B0CB"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00220953" w:rsidRPr="00220953">
        <w:rPr>
          <w:iCs/>
        </w:rPr>
        <w:t>…………………</w:t>
      </w:r>
      <w:r w:rsidRPr="004A4DDF">
        <w:rPr>
          <w:rFonts w:cs="Arial"/>
          <w:color w:val="AEAAAA" w:themeColor="background2" w:themeShade="BF"/>
        </w:rPr>
        <w:t xml:space="preserve"> </w:t>
      </w:r>
      <w:r w:rsidR="00220953">
        <w:rPr>
          <w:rFonts w:cs="Arial"/>
        </w:rPr>
        <w:t xml:space="preserve">v </w:t>
      </w:r>
      <w:r w:rsidR="00220953" w:rsidRPr="00220953">
        <w:rPr>
          <w:rFonts w:cs="Arial"/>
        </w:rPr>
        <w:t>………………</w:t>
      </w:r>
      <w:r w:rsidR="00220953">
        <w:rPr>
          <w:rFonts w:cs="Arial"/>
        </w:rPr>
        <w:t xml:space="preserve">, </w:t>
      </w:r>
      <w:r>
        <w:rPr>
          <w:rFonts w:cs="Arial"/>
        </w:rPr>
        <w:t xml:space="preserve">oddíl </w:t>
      </w:r>
      <w:proofErr w:type="gramStart"/>
      <w:r w:rsidR="00220953">
        <w:rPr>
          <w:rFonts w:cs="Arial"/>
        </w:rPr>
        <w:t>…….</w:t>
      </w:r>
      <w:proofErr w:type="gramEnd"/>
      <w:r w:rsidR="00220953">
        <w:rPr>
          <w:rFonts w:cs="Arial"/>
        </w:rPr>
        <w:t xml:space="preserve">, </w:t>
      </w:r>
      <w:r>
        <w:rPr>
          <w:rFonts w:cs="Arial"/>
        </w:rPr>
        <w:t xml:space="preserve">vložka </w:t>
      </w:r>
      <w:r w:rsidR="00220953">
        <w:rPr>
          <w:rFonts w:cs="Arial"/>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Prodávající</w:t>
      </w:r>
    </w:p>
    <w:p w14:paraId="7BD268F9" w14:textId="77777777" w:rsidR="00420FB8" w:rsidRPr="001171AC" w:rsidRDefault="003007B4" w:rsidP="00420FB8">
      <w:r>
        <w:t xml:space="preserve">dále jen </w:t>
      </w:r>
      <w:r w:rsidR="00923C21">
        <w:rPr>
          <w:b/>
        </w:rPr>
        <w:t xml:space="preserve">Prodávající </w:t>
      </w:r>
      <w:r w:rsidR="00420FB8" w:rsidRPr="001171AC">
        <w:t>na straně druhé</w:t>
      </w:r>
    </w:p>
    <w:p w14:paraId="52121F2D" w14:textId="77777777" w:rsidR="00401355" w:rsidRDefault="00401355" w:rsidP="005C1633">
      <w:pPr>
        <w:pStyle w:val="pocrad"/>
        <w:rPr>
          <w:rFonts w:cs="Arial"/>
        </w:rPr>
      </w:pPr>
    </w:p>
    <w:p w14:paraId="1C42F1F8"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4F496ACB" w14:textId="77777777"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4E92D453" w14:textId="77777777" w:rsidR="009305D5" w:rsidRPr="003007B4" w:rsidRDefault="009305D5" w:rsidP="000D1C47">
      <w:pPr>
        <w:pStyle w:val="Bezmezer"/>
      </w:pPr>
    </w:p>
    <w:p w14:paraId="71E8412D" w14:textId="1E508FA0" w:rsidR="00420FB8" w:rsidRPr="009305D5" w:rsidRDefault="00420FB8" w:rsidP="008840FC">
      <w:pPr>
        <w:pStyle w:val="Bezmezer"/>
        <w:jc w:val="both"/>
        <w:rPr>
          <w:highlight w:val="cyan"/>
        </w:rPr>
      </w:pPr>
      <w:r w:rsidRPr="008840FC">
        <w:t xml:space="preserve">Podkladem pro uzavření této </w:t>
      </w:r>
      <w:r w:rsidR="00B067C8" w:rsidRPr="008840FC">
        <w:t>Smlouv</w:t>
      </w:r>
      <w:r w:rsidRPr="008840FC">
        <w:t>y je nabídka vítězného dodavatele předložená v rámci zadávacího řízení</w:t>
      </w:r>
      <w:r w:rsidR="004A1D9D" w:rsidRPr="008840FC">
        <w:t xml:space="preserve"> </w:t>
      </w:r>
      <w:r w:rsidR="008840FC" w:rsidRPr="008840FC">
        <w:t>s názvem „</w:t>
      </w:r>
      <w:r w:rsidR="008840FC" w:rsidRPr="008840FC">
        <w:rPr>
          <w:b/>
          <w:bCs/>
        </w:rPr>
        <w:t>Software pro vzdálenou správu koncových zařízení</w:t>
      </w:r>
      <w:r w:rsidR="00E1436A">
        <w:rPr>
          <w:b/>
          <w:bCs/>
        </w:rPr>
        <w:t xml:space="preserve"> </w:t>
      </w:r>
      <w:r w:rsidR="00E1436A" w:rsidRPr="00EC7586">
        <w:t>(dále jen „veřejná zakázka“).</w:t>
      </w:r>
    </w:p>
    <w:p w14:paraId="7619510F" w14:textId="77777777" w:rsidR="003007B4" w:rsidRDefault="003007B4" w:rsidP="003007B4">
      <w:pPr>
        <w:rPr>
          <w:lang w:eastAsia="en-US"/>
        </w:rPr>
      </w:pPr>
    </w:p>
    <w:p w14:paraId="44479413"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0FEA0A21" w14:textId="77777777" w:rsidR="00DB54AE" w:rsidRDefault="00DB54AE" w:rsidP="00DB54AE">
      <w:pPr>
        <w:numPr>
          <w:ilvl w:val="0"/>
          <w:numId w:val="41"/>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20933C3A" w14:textId="77777777" w:rsidR="00DB54AE" w:rsidRDefault="00DB54AE" w:rsidP="00DB54AE">
      <w:pPr>
        <w:numPr>
          <w:ilvl w:val="0"/>
          <w:numId w:val="41"/>
        </w:numPr>
        <w:spacing w:after="60" w:line="240" w:lineRule="auto"/>
        <w:jc w:val="both"/>
      </w:pPr>
      <w:r>
        <w:t>Smluvní strany prohlašují, že osoby jednající za Smluvní strany jsou osoby oprávněné k jednání bez jakéhokoliv omezení daného např. i vnitřním předpisem Smluvní strany.</w:t>
      </w:r>
    </w:p>
    <w:p w14:paraId="4B7A454D" w14:textId="77777777" w:rsidR="00DB54AE" w:rsidRDefault="00DB54AE" w:rsidP="00DB54AE">
      <w:pPr>
        <w:numPr>
          <w:ilvl w:val="0"/>
          <w:numId w:val="41"/>
        </w:numPr>
        <w:spacing w:after="60" w:line="240" w:lineRule="auto"/>
        <w:jc w:val="both"/>
      </w:pPr>
      <w:r>
        <w:lastRenderedPageBreak/>
        <w:t xml:space="preserve">Smluvní strany mají zájem uzavřít platnou Smlouvu a žádné Smluvní straně není známa žádná skutečnost bránící jí uzavřít platnou Smlouvu a poskytnout sjednaná plnění. </w:t>
      </w:r>
    </w:p>
    <w:p w14:paraId="2CC178B6" w14:textId="77777777" w:rsidR="00DB54AE" w:rsidRDefault="00DB54AE" w:rsidP="00DB54AE">
      <w:pPr>
        <w:numPr>
          <w:ilvl w:val="0"/>
          <w:numId w:val="41"/>
        </w:numPr>
        <w:spacing w:after="60" w:line="240" w:lineRule="auto"/>
        <w:jc w:val="both"/>
      </w:pPr>
      <w:r w:rsidRPr="00131955">
        <w:t>Objednatel</w:t>
      </w:r>
      <w:r>
        <w:t xml:space="preserve"> prohlašuje, že </w:t>
      </w:r>
      <w:r w:rsidRPr="00131955">
        <w:t xml:space="preserve">na základě rozhodnutí Národního úřadu pro kybernetickou a informační bezpečnost ze dne 18. 10. 2018 </w:t>
      </w:r>
      <w:r>
        <w:t xml:space="preserve">je </w:t>
      </w:r>
      <w:r w:rsidRPr="00131955">
        <w:t>dle zákona č. 181/2014 Sb., o kybernetické bezpečnosti a o změně souvisejících zákonů, ve znění pozdějších předpisů</w:t>
      </w:r>
      <w:r>
        <w:t>,</w:t>
      </w:r>
      <w:r w:rsidRPr="00131955">
        <w:t xml:space="preserve"> provozovatelem základní služby: Poskytování zdravotních služeb. Informační systém, na kterém je tato služba závislá, je informačním systémem základní služby. </w:t>
      </w:r>
    </w:p>
    <w:p w14:paraId="4F76FEF2" w14:textId="6AF3617B" w:rsidR="00646CE5" w:rsidRDefault="00646CE5" w:rsidP="00646CE5">
      <w:pPr>
        <w:numPr>
          <w:ilvl w:val="0"/>
          <w:numId w:val="41"/>
        </w:numPr>
        <w:spacing w:after="60" w:line="240" w:lineRule="auto"/>
        <w:jc w:val="both"/>
      </w:pPr>
      <w:r>
        <w:t>Prodávající</w:t>
      </w:r>
      <w:r w:rsidRPr="007F46D4">
        <w:t xml:space="preserve"> </w:t>
      </w:r>
      <w:r w:rsidRPr="00131955">
        <w:t xml:space="preserve">bere na vědomí, že vstoupí do smluvního právního vztahu jako </w:t>
      </w:r>
      <w:r w:rsidRPr="00920D5C">
        <w:t>„</w:t>
      </w:r>
      <w:r w:rsidRPr="00131955">
        <w:t xml:space="preserve">významný </w:t>
      </w:r>
      <w:r w:rsidRPr="00920D5C">
        <w:t>dodavatel“</w:t>
      </w:r>
      <w:r w:rsidRPr="00131955">
        <w:t xml:space="preserve"> z hlediska bezpečnosti informačního a komunikačního systému. Způsoby a úrovně realizace bezpečnostních opatření pro </w:t>
      </w:r>
      <w:r>
        <w:t>Prodávajícího</w:t>
      </w:r>
      <w:r w:rsidRPr="007F46D4">
        <w:t xml:space="preserve"> </w:t>
      </w:r>
      <w:r w:rsidRPr="00131955">
        <w:t xml:space="preserve">stanoví příloha č. </w:t>
      </w:r>
      <w:r w:rsidR="00EB5854">
        <w:t>6</w:t>
      </w:r>
      <w:r w:rsidRPr="007F46D4">
        <w:t xml:space="preserve"> této smlouvy </w:t>
      </w:r>
      <w:r w:rsidRPr="00131955">
        <w:t xml:space="preserve">a určuje vzájemný vztah odpovědnosti za zavedení a kontrolu bezpečnostních opatření mezi </w:t>
      </w:r>
      <w:r>
        <w:t>Kupujícím a Prodávajícím</w:t>
      </w:r>
      <w:r w:rsidRPr="00131955">
        <w:t xml:space="preserve">. Požadavky na </w:t>
      </w:r>
      <w:r>
        <w:t>Prodávajícího</w:t>
      </w:r>
      <w:r w:rsidRPr="00131955">
        <w:t xml:space="preserve"> jsou v</w:t>
      </w:r>
      <w:r w:rsidRPr="00920D5C">
        <w:t xml:space="preserve"> této</w:t>
      </w:r>
      <w:r w:rsidRPr="00131955">
        <w:t xml:space="preserve"> smlouv</w:t>
      </w:r>
      <w:r w:rsidRPr="00920D5C">
        <w:t>ě</w:t>
      </w:r>
      <w:r w:rsidRPr="00131955">
        <w:t xml:space="preserve"> definovány dle platné právní úpravy, především dle zákona č. </w:t>
      </w:r>
      <w:r>
        <w:t>264/2025</w:t>
      </w:r>
      <w:r w:rsidRPr="00131955">
        <w:t xml:space="preserve"> Sb., </w:t>
      </w:r>
      <w:r>
        <w:t xml:space="preserve">Zákon </w:t>
      </w:r>
      <w:r w:rsidRPr="00131955">
        <w:t>o kybernetické bezpečnosti</w:t>
      </w:r>
      <w:r>
        <w:t>,</w:t>
      </w:r>
      <w:r w:rsidRPr="00131955">
        <w:t xml:space="preserve"> a vyhlášky </w:t>
      </w:r>
      <w:r w:rsidRPr="00292C91">
        <w:t>č. 409/2025 Sb. Vyhláška o bezpečnostních opatřeních poskytovatele regulované služby v režimu vyšších povinností</w:t>
      </w:r>
      <w:r w:rsidRPr="00131955">
        <w:t>.</w:t>
      </w:r>
    </w:p>
    <w:p w14:paraId="4AE7D336" w14:textId="77777777"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4264A1BE" w14:textId="308EF779" w:rsidR="008840FC" w:rsidRPr="007523C5" w:rsidRDefault="008840FC" w:rsidP="008840FC">
      <w:pPr>
        <w:numPr>
          <w:ilvl w:val="0"/>
          <w:numId w:val="9"/>
        </w:numPr>
        <w:spacing w:after="60" w:line="240" w:lineRule="auto"/>
        <w:jc w:val="both"/>
      </w:pPr>
      <w:r w:rsidRPr="007523C5">
        <w:t xml:space="preserve">Účelem této Smlouvy je obnova práva užití licencí provozovaného systému </w:t>
      </w:r>
      <w:r w:rsidRPr="00B456B9">
        <w:t xml:space="preserve">pro vzdálenou správu koncových zařízení </w:t>
      </w:r>
      <w:r w:rsidRPr="007523C5">
        <w:t xml:space="preserve">(dále jen </w:t>
      </w:r>
      <w:r w:rsidRPr="008840FC">
        <w:t>předmět koupě</w:t>
      </w:r>
      <w:r w:rsidRPr="007523C5">
        <w:t>).</w:t>
      </w:r>
    </w:p>
    <w:p w14:paraId="6FADB043" w14:textId="77777777"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754FDDB1" w14:textId="77777777" w:rsidR="002527F3" w:rsidRPr="005A1E99" w:rsidRDefault="002527F3" w:rsidP="00DB54AE">
      <w:pPr>
        <w:numPr>
          <w:ilvl w:val="0"/>
          <w:numId w:val="41"/>
        </w:numPr>
        <w:spacing w:after="60" w:line="240" w:lineRule="auto"/>
        <w:jc w:val="both"/>
      </w:pPr>
      <w:bookmarkStart w:id="2"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13F8CA1C" w14:textId="77777777" w:rsidR="00600717" w:rsidRPr="005A1E99" w:rsidRDefault="002527F3" w:rsidP="00DB54AE">
      <w:pPr>
        <w:numPr>
          <w:ilvl w:val="0"/>
          <w:numId w:val="41"/>
        </w:numPr>
        <w:spacing w:after="60" w:line="240" w:lineRule="auto"/>
        <w:jc w:val="both"/>
      </w:pPr>
      <w:r w:rsidRPr="005A1E99">
        <w:t>Přesná specifikace předmětu koupě</w:t>
      </w:r>
      <w:bookmarkStart w:id="3" w:name="_Hlk510095614"/>
      <w:r w:rsidRPr="005A1E99">
        <w:t xml:space="preserve"> </w:t>
      </w:r>
      <w:bookmarkEnd w:id="3"/>
      <w:r w:rsidR="00600717" w:rsidRPr="005A1E99">
        <w:t xml:space="preserve">(technický popis a parametry) </w:t>
      </w:r>
      <w:r w:rsidRPr="005A1E99">
        <w:t xml:space="preserve">je uvedena v Příloze č. 1 – Předmět koupě </w:t>
      </w:r>
      <w:r w:rsidR="00E55A0F" w:rsidRPr="005A1E99">
        <w:t xml:space="preserve">dle </w:t>
      </w:r>
      <w:r w:rsidRPr="005A1E99">
        <w:t>této Smlouvy</w:t>
      </w:r>
      <w:bookmarkEnd w:id="2"/>
      <w:r w:rsidR="00600717" w:rsidRPr="005A1E99">
        <w:t>, včetně výčtu všech věcí náležejících k předmětu koupě.</w:t>
      </w:r>
    </w:p>
    <w:p w14:paraId="4A6E62EC" w14:textId="77777777" w:rsidR="00587198" w:rsidRPr="005A1E99" w:rsidRDefault="00923C21" w:rsidP="00DB54AE">
      <w:pPr>
        <w:numPr>
          <w:ilvl w:val="0"/>
          <w:numId w:val="41"/>
        </w:numPr>
        <w:spacing w:after="60" w:line="240" w:lineRule="auto"/>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07D5CDE8"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3048EC6A" w14:textId="77777777" w:rsidR="000778E9" w:rsidRPr="00DB54AE" w:rsidRDefault="002923D5" w:rsidP="00C82249">
      <w:pPr>
        <w:numPr>
          <w:ilvl w:val="0"/>
          <w:numId w:val="3"/>
        </w:numPr>
        <w:spacing w:after="60" w:line="240" w:lineRule="auto"/>
        <w:jc w:val="both"/>
      </w:pPr>
      <w:r w:rsidRPr="00DB54AE">
        <w:t xml:space="preserve">Místem </w:t>
      </w:r>
      <w:r w:rsidR="00600717" w:rsidRPr="00DB54AE">
        <w:t xml:space="preserve">předání předmětu koupě </w:t>
      </w:r>
      <w:r w:rsidRPr="00DB54AE">
        <w:t xml:space="preserve">této </w:t>
      </w:r>
      <w:r w:rsidR="00B067C8" w:rsidRPr="00DB54AE">
        <w:t>Smlouv</w:t>
      </w:r>
      <w:r w:rsidRPr="00DB54AE">
        <w:t xml:space="preserve">y jsou </w:t>
      </w:r>
      <w:r w:rsidR="000778E9" w:rsidRPr="00DB54AE">
        <w:t>tyto</w:t>
      </w:r>
      <w:r w:rsidRPr="00DB54AE">
        <w:t xml:space="preserve"> pracoviště</w:t>
      </w:r>
      <w:r w:rsidR="000778E9" w:rsidRPr="00DB54AE">
        <w:t>:</w:t>
      </w:r>
    </w:p>
    <w:p w14:paraId="78A25BA5" w14:textId="77777777" w:rsidR="00C44B58" w:rsidRPr="00DB54AE" w:rsidRDefault="00C44B58" w:rsidP="00C44B58">
      <w:pPr>
        <w:numPr>
          <w:ilvl w:val="0"/>
          <w:numId w:val="39"/>
        </w:numPr>
        <w:spacing w:after="60" w:line="240" w:lineRule="auto"/>
        <w:jc w:val="both"/>
        <w:rPr>
          <w:rFonts w:ascii="Calibri" w:eastAsiaTheme="minorEastAsia" w:hAnsi="Calibri"/>
        </w:rPr>
      </w:pPr>
      <w:r w:rsidRPr="00DB54AE">
        <w:rPr>
          <w:rFonts w:ascii="Calibri" w:eastAsiaTheme="minorEastAsia" w:hAnsi="Calibri"/>
        </w:rPr>
        <w:t>Pardubická nemocnice, Kyjevská 44, 53203 Pardubice,</w:t>
      </w:r>
    </w:p>
    <w:p w14:paraId="66C0BFAC" w14:textId="6CD480E5" w:rsidR="00DB54AE" w:rsidRPr="00DB54AE" w:rsidRDefault="00DB54AE" w:rsidP="00DB54AE">
      <w:pPr>
        <w:numPr>
          <w:ilvl w:val="0"/>
          <w:numId w:val="3"/>
        </w:numPr>
        <w:spacing w:after="60" w:line="240" w:lineRule="auto"/>
        <w:jc w:val="both"/>
      </w:pPr>
      <w:r w:rsidRPr="00DB54AE">
        <w:t xml:space="preserve">Prodávající se zavazuje předat Kupujícímu předmět koupě a zprovoznit ho prostřednictvím svých </w:t>
      </w:r>
      <w:r w:rsidR="00F04262">
        <w:t>pracovníků</w:t>
      </w:r>
      <w:r w:rsidRPr="00DB54AE">
        <w:t>.</w:t>
      </w:r>
    </w:p>
    <w:p w14:paraId="73F2F26F" w14:textId="7B437A88" w:rsidR="00E55A0F" w:rsidRDefault="00E55A0F" w:rsidP="00C82249">
      <w:pPr>
        <w:numPr>
          <w:ilvl w:val="0"/>
          <w:numId w:val="3"/>
        </w:numPr>
        <w:spacing w:after="6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4A4B7526" w14:textId="77777777"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5FFA1CDD" w14:textId="0E0B9585" w:rsidR="00E41E4B" w:rsidRPr="00A603E3" w:rsidRDefault="006726F5" w:rsidP="00FF65F8">
      <w:pPr>
        <w:numPr>
          <w:ilvl w:val="0"/>
          <w:numId w:val="8"/>
        </w:numPr>
        <w:spacing w:after="120" w:line="240" w:lineRule="auto"/>
        <w:jc w:val="both"/>
      </w:pPr>
      <w:r w:rsidRPr="002A4691">
        <w:t>Stávající práva na užití licencí končí 2</w:t>
      </w:r>
      <w:r w:rsidR="00FF65F8">
        <w:t>8</w:t>
      </w:r>
      <w:r w:rsidRPr="002A4691">
        <w:t xml:space="preserve">. </w:t>
      </w:r>
      <w:r w:rsidR="00FF65F8">
        <w:t>4</w:t>
      </w:r>
      <w:r w:rsidRPr="002A4691">
        <w:t>. 202</w:t>
      </w:r>
      <w:r w:rsidR="00FF65F8">
        <w:t>6</w:t>
      </w:r>
      <w:r w:rsidRPr="002A4691">
        <w:t xml:space="preserve">. Počátek nových práv užití licencí dle této </w:t>
      </w:r>
      <w:r>
        <w:t>smlouvy</w:t>
      </w:r>
      <w:r w:rsidRPr="002A4691">
        <w:t xml:space="preserve"> musí bezprostředně navazovat na konec stávajících práv užití licencí. Zahájení plnění veřejné zakázky bude na písemnou výzvu zadavatele k zahájení plnění. Ukončení plnění zakázky nejpozději do 2 týdnů od zahájení plnění, tak aby nová licenční práva byla poskytnuta nejpozději od 2</w:t>
      </w:r>
      <w:r w:rsidR="00FF65F8">
        <w:t>9</w:t>
      </w:r>
      <w:r w:rsidRPr="002A4691">
        <w:t xml:space="preserve">. </w:t>
      </w:r>
      <w:r w:rsidR="00FF65F8">
        <w:t>4</w:t>
      </w:r>
      <w:r w:rsidRPr="002A4691">
        <w:t>. 202</w:t>
      </w:r>
      <w:r w:rsidR="00FF65F8">
        <w:t>6</w:t>
      </w:r>
      <w:r w:rsidRPr="002A4691">
        <w:t xml:space="preserve"> po dobu 1 roku.</w:t>
      </w:r>
      <w:r w:rsidR="00CF2FCA">
        <w:t xml:space="preserve"> </w:t>
      </w:r>
    </w:p>
    <w:p w14:paraId="19322EFE"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35417E8C" w14:textId="2008441C"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r w:rsidR="00FF65F8">
        <w:t>,-</w:t>
      </w:r>
      <w:proofErr w:type="gramEnd"/>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xml:space="preserve">. K takto sjednané ceně </w:t>
      </w:r>
      <w:r w:rsidR="00732482" w:rsidRPr="00F32147">
        <w:lastRenderedPageBreak/>
        <w:t>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proofErr w:type="gramStart"/>
      <w:r w:rsidRPr="00732482">
        <w:rPr>
          <w:highlight w:val="yellow"/>
        </w:rPr>
        <w:t>…</w:t>
      </w:r>
      <w:r w:rsidR="00FF65F8">
        <w:t>,-</w:t>
      </w:r>
      <w:proofErr w:type="gramEnd"/>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2CA08426" w14:textId="3EA8BD83"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854292">
        <w:t>3</w:t>
      </w:r>
      <w:r w:rsidRPr="006C0D3A">
        <w:t xml:space="preserve"> této </w:t>
      </w:r>
      <w:r w:rsidR="00B067C8">
        <w:t>Smlouv</w:t>
      </w:r>
      <w:r w:rsidRPr="006C0D3A">
        <w:t xml:space="preserve">y. </w:t>
      </w:r>
    </w:p>
    <w:p w14:paraId="24FA5DA1" w14:textId="7777777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33E6A954" w14:textId="77777777"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2FACC11" w14:textId="77777777"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5A7365C4" w14:textId="77777777"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813F5E2" w14:textId="00787CBE"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EB5854">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50CCA53C" w14:textId="77777777"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55EBC93C" w14:textId="7777777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5193E5DA" w14:textId="10A8AC5F"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31E5BAFB" w14:textId="77777777"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55430068" w14:textId="77777777"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06736BBA" w14:textId="77777777"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14F87F29" w14:textId="77777777"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1C331167" w14:textId="32234D33"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6E2F5729" w14:textId="77777777"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lastRenderedPageBreak/>
        <w:t>Kupující</w:t>
      </w:r>
      <w:r w:rsidR="00480FF6" w:rsidRPr="00D85F96">
        <w:rPr>
          <w:sz w:val="22"/>
          <w:szCs w:val="22"/>
        </w:rPr>
        <w:t xml:space="preserve"> je oprávněn kontrolovat plnění této Smlouvy.</w:t>
      </w:r>
    </w:p>
    <w:p w14:paraId="292FA952"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247F7825"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4930F69D"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7671B056"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0286C224"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06D28BF7"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6502EA4" w14:textId="77777777"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D1A24FB"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F0992D1" w14:textId="77777777"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D522967" w14:textId="77777777"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140B2737" w14:textId="77777777"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6F973F69" w14:textId="77777777" w:rsidR="00DB54AE" w:rsidRPr="004873AF" w:rsidRDefault="00DB54AE" w:rsidP="00DB54AE">
      <w:pPr>
        <w:numPr>
          <w:ilvl w:val="0"/>
          <w:numId w:val="10"/>
        </w:numPr>
        <w:spacing w:after="120" w:line="240" w:lineRule="auto"/>
        <w:jc w:val="both"/>
      </w:pPr>
      <w:r w:rsidRPr="004873AF">
        <w:t xml:space="preserve">Předmět koupě se považuje za předaný dnem protokolárního předání Prodávajícím Kupujícímu a jeho převzetí Kupujícím. Součástí předání a zprovoznění předmětu koupě je provedení všech potřebných testů a ověřování funkčnosti předmětu koupě. </w:t>
      </w:r>
    </w:p>
    <w:p w14:paraId="18689E86" w14:textId="77777777" w:rsidR="00DB54AE" w:rsidRPr="004873AF" w:rsidRDefault="00DB54AE" w:rsidP="00DB54AE">
      <w:pPr>
        <w:pStyle w:val="Odstavecseseznamem"/>
        <w:numPr>
          <w:ilvl w:val="0"/>
          <w:numId w:val="10"/>
        </w:numPr>
        <w:spacing w:before="0" w:after="120"/>
        <w:contextualSpacing w:val="0"/>
        <w:rPr>
          <w:sz w:val="22"/>
          <w:szCs w:val="22"/>
        </w:rPr>
      </w:pPr>
      <w:r w:rsidRPr="004873AF">
        <w:rPr>
          <w:sz w:val="22"/>
          <w:szCs w:val="22"/>
        </w:rPr>
        <w:t>Protokolárním předáním předmětu koupě se rozumí:</w:t>
      </w:r>
    </w:p>
    <w:p w14:paraId="00964C6E" w14:textId="77777777" w:rsidR="00DB54AE" w:rsidRPr="004873AF" w:rsidRDefault="00DB54AE" w:rsidP="00DB54AE">
      <w:pPr>
        <w:pStyle w:val="Odstavecseseznamem"/>
        <w:numPr>
          <w:ilvl w:val="0"/>
          <w:numId w:val="15"/>
        </w:numPr>
        <w:rPr>
          <w:sz w:val="22"/>
          <w:szCs w:val="22"/>
        </w:rPr>
      </w:pPr>
      <w:r w:rsidRPr="004873AF">
        <w:rPr>
          <w:b/>
          <w:sz w:val="22"/>
          <w:szCs w:val="22"/>
        </w:rPr>
        <w:t>akceptace</w:t>
      </w:r>
      <w:r w:rsidRPr="004873AF">
        <w:rPr>
          <w:sz w:val="22"/>
          <w:szCs w:val="22"/>
        </w:rPr>
        <w:t xml:space="preserve"> předmětu koupě a</w:t>
      </w:r>
    </w:p>
    <w:p w14:paraId="20FED1F5" w14:textId="77777777" w:rsidR="00DB54AE" w:rsidRPr="004873AF" w:rsidRDefault="00DB54AE" w:rsidP="00DB54AE">
      <w:pPr>
        <w:pStyle w:val="Odstavecseseznamem"/>
        <w:numPr>
          <w:ilvl w:val="0"/>
          <w:numId w:val="15"/>
        </w:numPr>
        <w:rPr>
          <w:sz w:val="22"/>
          <w:szCs w:val="22"/>
        </w:rPr>
      </w:pPr>
      <w:r w:rsidRPr="004873AF">
        <w:rPr>
          <w:sz w:val="22"/>
          <w:szCs w:val="22"/>
        </w:rPr>
        <w:t xml:space="preserve">stvrzení převzetí předmětu koupě </w:t>
      </w:r>
      <w:r w:rsidRPr="004873AF">
        <w:rPr>
          <w:b/>
          <w:sz w:val="22"/>
          <w:szCs w:val="22"/>
        </w:rPr>
        <w:t xml:space="preserve">dodacím listem </w:t>
      </w:r>
      <w:r w:rsidRPr="004873AF">
        <w:rPr>
          <w:sz w:val="22"/>
          <w:szCs w:val="22"/>
        </w:rPr>
        <w:t xml:space="preserve">podepsaným oběma Smluvními stranami. </w:t>
      </w:r>
    </w:p>
    <w:p w14:paraId="6AC96E1B" w14:textId="77777777" w:rsidR="00DB54AE" w:rsidRPr="004873AF" w:rsidRDefault="00DB54AE" w:rsidP="00DB54AE">
      <w:pPr>
        <w:pStyle w:val="Odstavecseseznamem"/>
        <w:ind w:left="1068"/>
        <w:rPr>
          <w:sz w:val="22"/>
          <w:szCs w:val="22"/>
        </w:rPr>
      </w:pPr>
    </w:p>
    <w:p w14:paraId="4C91FFCD" w14:textId="77777777" w:rsidR="00DB54AE" w:rsidRPr="004873AF" w:rsidRDefault="00DB54AE" w:rsidP="00DB54AE">
      <w:pPr>
        <w:pStyle w:val="Odstavecseseznamem"/>
        <w:numPr>
          <w:ilvl w:val="0"/>
          <w:numId w:val="10"/>
        </w:numPr>
        <w:spacing w:before="0" w:after="120"/>
        <w:contextualSpacing w:val="0"/>
        <w:rPr>
          <w:sz w:val="22"/>
          <w:szCs w:val="22"/>
        </w:rPr>
      </w:pPr>
      <w:r w:rsidRPr="004873AF">
        <w:rPr>
          <w:sz w:val="22"/>
          <w:szCs w:val="22"/>
        </w:rPr>
        <w:t>Dodací list připravuje a předkládá Prodávající.</w:t>
      </w:r>
    </w:p>
    <w:p w14:paraId="180F329E" w14:textId="77777777" w:rsidR="00DB54AE" w:rsidRPr="004873AF" w:rsidRDefault="00DB54AE" w:rsidP="00DB54AE">
      <w:pPr>
        <w:pStyle w:val="Odstavecseseznamem"/>
        <w:numPr>
          <w:ilvl w:val="0"/>
          <w:numId w:val="10"/>
        </w:numPr>
        <w:spacing w:before="0" w:after="120"/>
        <w:contextualSpacing w:val="0"/>
        <w:rPr>
          <w:sz w:val="22"/>
          <w:szCs w:val="22"/>
        </w:rPr>
      </w:pPr>
      <w:r w:rsidRPr="004873AF">
        <w:rPr>
          <w:sz w:val="22"/>
          <w:szCs w:val="22"/>
        </w:rPr>
        <w:lastRenderedPageBreak/>
        <w:t xml:space="preserve">Kupující předmět koupě nebo jeho dílčí část nepřevezme, pokud má předmět koupě nebo jeho dílčí část vady bránící užití předmětu koupě nebo jinak nesplňuje podmínky této Smlouvy. O odmítnutí bude sepsán oběma Smluvními stranami zápis, který bude obsahovat specifikaci vytýkaných vad a vyjádření obou Smluvních stran. </w:t>
      </w:r>
    </w:p>
    <w:p w14:paraId="1A159465" w14:textId="77777777" w:rsidR="00DB54AE" w:rsidRPr="004873AF" w:rsidRDefault="00DB54AE" w:rsidP="00DB54AE">
      <w:pPr>
        <w:pStyle w:val="Odstavecseseznamem"/>
        <w:numPr>
          <w:ilvl w:val="0"/>
          <w:numId w:val="10"/>
        </w:numPr>
        <w:spacing w:before="0" w:after="120"/>
        <w:contextualSpacing w:val="0"/>
        <w:rPr>
          <w:strike/>
          <w:sz w:val="22"/>
          <w:szCs w:val="22"/>
        </w:rPr>
      </w:pPr>
      <w:r w:rsidRPr="004873AF">
        <w:rPr>
          <w:sz w:val="22"/>
          <w:szCs w:val="22"/>
        </w:rPr>
        <w:t>Okamžikem protokolárního převzetí předmětu koupě přechází na Kupujícího právo k užití poskytnutých softwarových licencí a nebezpečí škody na předmětu koupě.</w:t>
      </w:r>
    </w:p>
    <w:p w14:paraId="715CEBF1" w14:textId="521C847C"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14D47736" w14:textId="77777777" w:rsidR="0080441F" w:rsidRPr="00F90E81" w:rsidRDefault="00923C21" w:rsidP="00C82249">
      <w:pPr>
        <w:numPr>
          <w:ilvl w:val="0"/>
          <w:numId w:val="13"/>
        </w:numPr>
        <w:spacing w:after="120" w:line="240" w:lineRule="auto"/>
        <w:jc w:val="both"/>
      </w:pPr>
      <w:bookmarkStart w:id="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35EE136E" w14:textId="7777777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096C4160"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1914AE42" w14:textId="77777777" w:rsidR="00D06F09" w:rsidRPr="00F90E81" w:rsidRDefault="00ED2BF5" w:rsidP="00C82249">
      <w:pPr>
        <w:numPr>
          <w:ilvl w:val="0"/>
          <w:numId w:val="13"/>
        </w:numPr>
        <w:spacing w:after="120" w:line="240" w:lineRule="auto"/>
        <w:jc w:val="both"/>
      </w:pPr>
      <w:bookmarkStart w:id="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496DDE29" w14:textId="7777777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16F0AFFA" w14:textId="77777777"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A9BBE92" w14:textId="77777777"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3EABC15" w14:textId="77777777" w:rsidR="00D72261" w:rsidRPr="00DB54AE" w:rsidRDefault="00D72261" w:rsidP="00C82249">
      <w:pPr>
        <w:pStyle w:val="Odstavecseseznamem"/>
        <w:numPr>
          <w:ilvl w:val="0"/>
          <w:numId w:val="20"/>
        </w:numPr>
        <w:spacing w:before="0" w:after="120" w:line="240" w:lineRule="auto"/>
        <w:ind w:left="765" w:hanging="357"/>
        <w:contextualSpacing w:val="0"/>
        <w:rPr>
          <w:sz w:val="22"/>
          <w:szCs w:val="22"/>
        </w:rPr>
      </w:pPr>
      <w:r w:rsidRPr="00DB54AE">
        <w:rPr>
          <w:sz w:val="22"/>
          <w:szCs w:val="22"/>
        </w:rPr>
        <w:t xml:space="preserve">veškeré další informace, které budou </w:t>
      </w:r>
      <w:r w:rsidR="006E37FE" w:rsidRPr="00DB54AE">
        <w:rPr>
          <w:sz w:val="22"/>
          <w:szCs w:val="22"/>
        </w:rPr>
        <w:t>Kupujícím či</w:t>
      </w:r>
      <w:r w:rsidRPr="00DB54AE">
        <w:rPr>
          <w:sz w:val="22"/>
          <w:szCs w:val="22"/>
        </w:rPr>
        <w:t xml:space="preserve"> </w:t>
      </w:r>
      <w:r w:rsidR="00984F5A" w:rsidRPr="00DB54AE">
        <w:rPr>
          <w:sz w:val="22"/>
          <w:szCs w:val="22"/>
        </w:rPr>
        <w:t>Prodávajícím</w:t>
      </w:r>
      <w:r w:rsidRPr="00DB54AE">
        <w:rPr>
          <w:sz w:val="22"/>
          <w:szCs w:val="22"/>
        </w:rPr>
        <w:t xml:space="preserve"> označeny jako </w:t>
      </w:r>
      <w:r w:rsidR="00D06F09" w:rsidRPr="00DB54AE">
        <w:rPr>
          <w:sz w:val="22"/>
          <w:szCs w:val="22"/>
        </w:rPr>
        <w:t>důvěrné</w:t>
      </w:r>
      <w:r w:rsidRPr="00DB54AE">
        <w:rPr>
          <w:sz w:val="22"/>
          <w:szCs w:val="22"/>
        </w:rPr>
        <w:t xml:space="preserve"> ve smyslu ustanovení § 218 zákona č. 134/2016 Sb., ZZVZ.</w:t>
      </w:r>
    </w:p>
    <w:bookmarkEnd w:id="5"/>
    <w:p w14:paraId="4F3E51B0" w14:textId="77777777" w:rsidR="00D72261" w:rsidRPr="00DB54AE" w:rsidRDefault="00923C21" w:rsidP="00C82249">
      <w:pPr>
        <w:numPr>
          <w:ilvl w:val="0"/>
          <w:numId w:val="13"/>
        </w:numPr>
        <w:spacing w:after="120" w:line="240" w:lineRule="auto"/>
        <w:jc w:val="both"/>
      </w:pPr>
      <w:r w:rsidRPr="00DB54AE">
        <w:t xml:space="preserve">Prodávající </w:t>
      </w:r>
      <w:r w:rsidR="00D72261" w:rsidRPr="00DB54AE">
        <w:t xml:space="preserve">je povinen důvěrné informace užít pouze </w:t>
      </w:r>
      <w:r w:rsidR="002E746B" w:rsidRPr="00DB54AE">
        <w:t>z</w:t>
      </w:r>
      <w:r w:rsidR="00D72261" w:rsidRPr="00DB54AE">
        <w:t>a účelem plnění této Smlouvy.</w:t>
      </w:r>
      <w:bookmarkStart w:id="6" w:name="_Ref338775738"/>
      <w:r w:rsidR="00D72261" w:rsidRPr="00DB54AE">
        <w:t xml:space="preserve"> Jiná použití nejsou bez písemného svolení </w:t>
      </w:r>
      <w:r w:rsidRPr="00DB54AE">
        <w:t>Kupující</w:t>
      </w:r>
      <w:r w:rsidR="006E37FE" w:rsidRPr="00DB54AE">
        <w:t>ho</w:t>
      </w:r>
      <w:r w:rsidR="00D72261" w:rsidRPr="00DB54AE">
        <w:t xml:space="preserve"> přípustná.</w:t>
      </w:r>
      <w:bookmarkEnd w:id="6"/>
      <w:r w:rsidR="00D72261" w:rsidRPr="00DB54AE">
        <w:t xml:space="preserve"> </w:t>
      </w:r>
    </w:p>
    <w:p w14:paraId="24D0A189" w14:textId="77777777"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72D1BB04" w14:textId="01B11B00"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w:t>
      </w:r>
      <w:r w:rsidR="00F04262">
        <w:t>pracovníky</w:t>
      </w:r>
      <w:r w:rsidRPr="00155CB2">
        <w:t xml:space="preserv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30075C5" w14:textId="3390E3AF"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 xml:space="preserve">zavazuje, že jeho </w:t>
      </w:r>
      <w:r w:rsidR="00F04262">
        <w:t>pracovníci a</w:t>
      </w:r>
      <w:r w:rsidR="00892ED8" w:rsidRPr="00892ED8">
        <w:t xml:space="preserve"> </w:t>
      </w:r>
      <w:r w:rsidR="00892ED8" w:rsidRPr="00A53398">
        <w:t xml:space="preserve">poddodavatelé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73B3075E" w14:textId="77777777"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362E8448" w14:textId="587B8671" w:rsidR="00BE12E8" w:rsidRPr="00A743BF" w:rsidRDefault="00923C21" w:rsidP="00C82249">
      <w:pPr>
        <w:numPr>
          <w:ilvl w:val="0"/>
          <w:numId w:val="13"/>
        </w:numPr>
        <w:spacing w:after="120" w:line="240" w:lineRule="auto"/>
        <w:jc w:val="both"/>
      </w:pPr>
      <w:r>
        <w:lastRenderedPageBreak/>
        <w:t xml:space="preserve">Prodávající </w:t>
      </w:r>
      <w:r w:rsidR="00BE12E8" w:rsidRPr="00A743BF">
        <w:t xml:space="preserve">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1957D9F" w14:textId="77777777"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4F0110D5" w14:textId="77777777"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76EF8D92" w14:textId="77777777" w:rsidR="00BE12E8" w:rsidRPr="00DD7985" w:rsidRDefault="00BE12E8" w:rsidP="00C82249">
      <w:pPr>
        <w:pStyle w:val="Odstavecseseznamem"/>
        <w:numPr>
          <w:ilvl w:val="0"/>
          <w:numId w:val="15"/>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5F172435" w14:textId="77777777"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15D4DCFF" w14:textId="77777777"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222EF104" w14:textId="77777777" w:rsidR="00B260FE" w:rsidRDefault="00BE12E8" w:rsidP="00862216">
      <w:pPr>
        <w:pStyle w:val="Odstavecseseznamem"/>
        <w:numPr>
          <w:ilvl w:val="0"/>
          <w:numId w:val="15"/>
        </w:numPr>
        <w:spacing w:after="120" w:line="240" w:lineRule="auto"/>
      </w:pPr>
      <w:r w:rsidRPr="00DD7985">
        <w:t>jejichž sdělení se vyžaduje ze zákona.</w:t>
      </w:r>
    </w:p>
    <w:p w14:paraId="7DE0D9C7" w14:textId="7452FFF9"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w:t>
      </w:r>
      <w:r w:rsidR="00F04262">
        <w:t>pracovníkům nebo poddodavatelům</w:t>
      </w:r>
      <w:r w:rsidRPr="00A743BF">
        <w:t xml:space="preserve"> </w:t>
      </w:r>
      <w:r w:rsidR="00F04262">
        <w:t>P</w:t>
      </w:r>
      <w:r w:rsidR="003665DA">
        <w:t>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60F9164" w14:textId="7777777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0E498AF7" w14:textId="77777777"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0510390"/>
      <w:bookmarkEnd w:id="4"/>
      <w:r>
        <w:rPr>
          <w:color w:val="2F5496" w:themeColor="accent1" w:themeShade="BF"/>
        </w:rPr>
        <w:t xml:space="preserve"> </w:t>
      </w:r>
      <w:bookmarkStart w:id="8" w:name="_Hlk511034185"/>
      <w:r w:rsidRPr="00FD68CF">
        <w:rPr>
          <w:color w:val="2F5496" w:themeColor="accent1" w:themeShade="BF"/>
        </w:rPr>
        <w:t>Duševní vlastnictví a obchodní tajemství</w:t>
      </w:r>
    </w:p>
    <w:p w14:paraId="3664CCD8" w14:textId="77777777"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54134D43" w14:textId="77777777"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387F888"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1256302F"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F832616" w14:textId="77777777" w:rsidR="00466624" w:rsidRDefault="00466624" w:rsidP="00C82249">
      <w:pPr>
        <w:numPr>
          <w:ilvl w:val="0"/>
          <w:numId w:val="22"/>
        </w:numPr>
        <w:spacing w:after="60" w:line="240" w:lineRule="auto"/>
        <w:jc w:val="both"/>
      </w:pPr>
      <w:r>
        <w:t xml:space="preserve">Povinnost mlčenlivosti může být porušena pouze </w:t>
      </w:r>
      <w:bookmarkStart w:id="9" w:name="_Hlk510776831"/>
      <w:r>
        <w:t>v zákonem stanovených případech.</w:t>
      </w:r>
    </w:p>
    <w:bookmarkEnd w:id="9"/>
    <w:p w14:paraId="3558D78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2C5074F0" w14:textId="77777777"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0" w:name="_Hlk511034349"/>
      <w:bookmarkEnd w:id="7"/>
      <w:bookmarkEnd w:id="8"/>
      <w:r>
        <w:rPr>
          <w:color w:val="2F5496" w:themeColor="accent1" w:themeShade="BF"/>
        </w:rPr>
        <w:t xml:space="preserve"> </w:t>
      </w:r>
      <w:r w:rsidR="00BE12E8" w:rsidRPr="00DD7985">
        <w:rPr>
          <w:color w:val="2F5496" w:themeColor="accent1" w:themeShade="BF"/>
        </w:rPr>
        <w:t>Smluvní pokuty</w:t>
      </w:r>
    </w:p>
    <w:p w14:paraId="25A2E572" w14:textId="77777777" w:rsidR="00382B79" w:rsidRPr="0058593F" w:rsidRDefault="002C7A70" w:rsidP="00C82249">
      <w:pPr>
        <w:numPr>
          <w:ilvl w:val="0"/>
          <w:numId w:val="14"/>
        </w:numPr>
        <w:spacing w:after="120" w:line="240" w:lineRule="auto"/>
        <w:jc w:val="both"/>
      </w:pPr>
      <w:bookmarkStart w:id="1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548FA1D" w14:textId="77777777" w:rsidR="00BE12E8" w:rsidRDefault="00DD7985" w:rsidP="00C82249">
      <w:pPr>
        <w:numPr>
          <w:ilvl w:val="0"/>
          <w:numId w:val="14"/>
        </w:numPr>
        <w:spacing w:after="120" w:line="240" w:lineRule="auto"/>
        <w:jc w:val="both"/>
      </w:pPr>
      <w:bookmarkStart w:id="12" w:name="_Hlk510511352"/>
      <w:bookmarkEnd w:id="11"/>
      <w:r w:rsidRPr="00312DC5">
        <w:lastRenderedPageBreak/>
        <w:t>V</w:t>
      </w:r>
      <w:r w:rsidR="00BE12E8" w:rsidRPr="00312DC5">
        <w:t xml:space="preserve"> případě prodlení </w:t>
      </w:r>
      <w:r w:rsidR="00923C21">
        <w:t>Kupující</w:t>
      </w:r>
      <w:r w:rsidR="00587EF1">
        <w:t>ho</w:t>
      </w:r>
      <w:r w:rsidR="00BE12E8" w:rsidRPr="00312DC5">
        <w:t xml:space="preserve"> s </w:t>
      </w:r>
      <w:bookmarkStart w:id="13"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3"/>
      <w:r w:rsidR="00BE12E8" w:rsidRPr="00312DC5">
        <w:t xml:space="preserve"> ve výši 0,05</w:t>
      </w:r>
      <w:r w:rsidR="00C06770" w:rsidRPr="00312DC5">
        <w:t xml:space="preserve"> </w:t>
      </w:r>
      <w:r w:rsidR="00BE12E8" w:rsidRPr="00312DC5">
        <w:t xml:space="preserve">% z dlužné částky </w:t>
      </w:r>
      <w:bookmarkStart w:id="14" w:name="_Hlk510507603"/>
      <w:r w:rsidR="00BE12E8" w:rsidRPr="00312DC5">
        <w:t xml:space="preserve">za </w:t>
      </w:r>
      <w:r w:rsidR="002048FB" w:rsidRPr="00312DC5">
        <w:t xml:space="preserve">každý i započatý den </w:t>
      </w:r>
      <w:r w:rsidR="00BE12E8" w:rsidRPr="00312DC5">
        <w:t>prodlení</w:t>
      </w:r>
      <w:bookmarkEnd w:id="14"/>
      <w:r w:rsidR="008376F5">
        <w:t xml:space="preserve">. Obě Smluvní strany </w:t>
      </w:r>
      <w:r w:rsidR="008376F5" w:rsidRPr="008A4528">
        <w:t xml:space="preserve">sjednávají, že takto upravený úrok z prodlení je přiměřený. </w:t>
      </w:r>
    </w:p>
    <w:p w14:paraId="0BB0111E" w14:textId="77777777" w:rsidR="00BE12E8" w:rsidRPr="0058593F" w:rsidRDefault="00BE12E8" w:rsidP="00C82249">
      <w:pPr>
        <w:numPr>
          <w:ilvl w:val="0"/>
          <w:numId w:val="14"/>
        </w:numPr>
        <w:spacing w:after="120" w:line="240" w:lineRule="auto"/>
        <w:jc w:val="both"/>
      </w:pPr>
      <w:bookmarkStart w:id="15" w:name="_Hlk510511764"/>
      <w:bookmarkEnd w:id="12"/>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4E2B29">
        <w:t>.</w:t>
      </w:r>
      <w:r w:rsidR="00B067C8" w:rsidRPr="0058593F">
        <w:t xml:space="preserve"> této Smlouv</w:t>
      </w:r>
      <w:r w:rsidRPr="0058593F">
        <w:t xml:space="preserve">y </w:t>
      </w:r>
      <w:bookmarkStart w:id="16"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6"/>
      <w:r w:rsidRPr="0058593F">
        <w:t xml:space="preserve">bude povinen zaplatit </w:t>
      </w:r>
      <w:r w:rsidR="00923C21">
        <w:t>Kupující</w:t>
      </w:r>
      <w:r w:rsidR="00587EF1">
        <w:t>mu</w:t>
      </w:r>
      <w:r w:rsidRPr="0058593F">
        <w:t xml:space="preserve"> smluvní pokutu ve </w:t>
      </w:r>
      <w:r w:rsidRPr="00721DE3">
        <w:t>výši 100</w:t>
      </w:r>
      <w:r w:rsidR="00937F9B" w:rsidRPr="00721DE3">
        <w:t xml:space="preserve"> </w:t>
      </w:r>
      <w:r w:rsidRPr="00721DE3">
        <w:t>000 Kč za</w:t>
      </w:r>
      <w:r w:rsidRPr="0058593F">
        <w:t xml:space="preserve"> každé takové porušení</w:t>
      </w:r>
      <w:r w:rsidR="004E2B29">
        <w:t>.</w:t>
      </w:r>
    </w:p>
    <w:bookmarkEnd w:id="15"/>
    <w:p w14:paraId="7C8D52A2" w14:textId="05E54C76" w:rsidR="00BE12E8" w:rsidRPr="00DB54AE"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w:t>
      </w:r>
      <w:r w:rsidRPr="00DB54AE">
        <w:t>podle</w:t>
      </w:r>
      <w:r w:rsidR="00B60988" w:rsidRPr="00DB54AE">
        <w:t xml:space="preserve"> článku</w:t>
      </w:r>
      <w:r w:rsidR="00DC1937" w:rsidRPr="00DB54AE">
        <w:t xml:space="preserve"> 1</w:t>
      </w:r>
      <w:r w:rsidR="00DB54AE" w:rsidRPr="00DB54AE">
        <w:t>2</w:t>
      </w:r>
      <w:r w:rsidR="00DC1937" w:rsidRPr="00DB54AE">
        <w:t xml:space="preserve">, </w:t>
      </w:r>
      <w:r w:rsidR="00B067C8" w:rsidRPr="00DB54AE">
        <w:t xml:space="preserve">odst. </w:t>
      </w:r>
      <w:r w:rsidR="00DC1937" w:rsidRPr="00DB54AE">
        <w:t>2, této</w:t>
      </w:r>
      <w:r w:rsidR="00B067C8" w:rsidRPr="00DB54AE">
        <w:t xml:space="preserve"> Smlouvy</w:t>
      </w:r>
      <w:r w:rsidRPr="00DB54AE">
        <w:t xml:space="preserve"> uplatní </w:t>
      </w:r>
      <w:r w:rsidR="00923C21" w:rsidRPr="00DB54AE">
        <w:t>Kupující</w:t>
      </w:r>
      <w:r w:rsidRPr="00DB54AE">
        <w:t xml:space="preserve"> za toto porušení vůči </w:t>
      </w:r>
      <w:r w:rsidR="008D23CD" w:rsidRPr="00DB54AE">
        <w:t>Prodávajícímu</w:t>
      </w:r>
      <w:r w:rsidRPr="00DB54AE">
        <w:t xml:space="preserve"> smluvní pokutu ve výši 20</w:t>
      </w:r>
      <w:r w:rsidR="00C06770" w:rsidRPr="00DB54AE">
        <w:t xml:space="preserve"> </w:t>
      </w:r>
      <w:r w:rsidRPr="00DB54AE">
        <w:t>% z celkové sjedn</w:t>
      </w:r>
      <w:r w:rsidR="00B067C8" w:rsidRPr="00DB54AE">
        <w:t xml:space="preserve">ané </w:t>
      </w:r>
      <w:r w:rsidR="00B5653B" w:rsidRPr="00DB54AE">
        <w:t xml:space="preserve">Kupní </w:t>
      </w:r>
      <w:r w:rsidR="00380D3B" w:rsidRPr="00DB54AE">
        <w:t>ceny</w:t>
      </w:r>
      <w:r w:rsidRPr="00DB54AE">
        <w:t xml:space="preserve"> </w:t>
      </w:r>
      <w:r w:rsidR="0058593F" w:rsidRPr="00DB54AE">
        <w:t>bez</w:t>
      </w:r>
      <w:r w:rsidRPr="00DB54AE">
        <w:t xml:space="preserve"> DPH.</w:t>
      </w:r>
    </w:p>
    <w:p w14:paraId="54A80D88" w14:textId="77777777" w:rsidR="00BE12E8" w:rsidRPr="00DC1937" w:rsidRDefault="00BE12E8" w:rsidP="00C82249">
      <w:pPr>
        <w:numPr>
          <w:ilvl w:val="0"/>
          <w:numId w:val="14"/>
        </w:numPr>
        <w:spacing w:after="120" w:line="240" w:lineRule="auto"/>
        <w:jc w:val="both"/>
      </w:pPr>
      <w:bookmarkStart w:id="17" w:name="_Hlk510778545"/>
      <w:r w:rsidRPr="00DC1937">
        <w:t>Smluvní pokuty stanovené dle tohoto článku jsou splatné do 30 dnů ode dne doručení výzvy oprávněné strany k zaplacení smluvní pokuty povinné smluvní straně.</w:t>
      </w:r>
    </w:p>
    <w:p w14:paraId="4E1BFDD6" w14:textId="77777777" w:rsidR="00DF0DA2" w:rsidRPr="00DC1937" w:rsidRDefault="00DF0DA2" w:rsidP="00C82249">
      <w:pPr>
        <w:numPr>
          <w:ilvl w:val="0"/>
          <w:numId w:val="14"/>
        </w:numPr>
        <w:spacing w:after="120" w:line="240" w:lineRule="auto"/>
        <w:jc w:val="both"/>
      </w:pPr>
      <w:bookmarkStart w:id="18" w:name="_Hlk510778708"/>
      <w:bookmarkEnd w:id="1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2E5D602" w14:textId="77777777" w:rsidR="00BE12E8" w:rsidRPr="00DC1937" w:rsidRDefault="00BE12E8" w:rsidP="00C82249">
      <w:pPr>
        <w:numPr>
          <w:ilvl w:val="0"/>
          <w:numId w:val="14"/>
        </w:numPr>
        <w:spacing w:after="120" w:line="240" w:lineRule="auto"/>
        <w:jc w:val="both"/>
      </w:pPr>
      <w:bookmarkStart w:id="19" w:name="_Hlk510778694"/>
      <w:bookmarkEnd w:id="18"/>
      <w:r w:rsidRPr="00DC1937">
        <w:t xml:space="preserve">Oprávněnost nároku na smluvní pokutu není podmíněna žádnými formálními úkony ze strany </w:t>
      </w:r>
      <w:r w:rsidR="00923C21">
        <w:t>Kupující</w:t>
      </w:r>
      <w:r w:rsidR="00DF6593">
        <w:t>ho</w:t>
      </w:r>
      <w:r w:rsidRPr="00DC1937">
        <w:t>.</w:t>
      </w:r>
    </w:p>
    <w:p w14:paraId="664FC757" w14:textId="77777777" w:rsidR="00DC1937" w:rsidRPr="0056154C" w:rsidRDefault="00D917A1" w:rsidP="00C82249">
      <w:pPr>
        <w:numPr>
          <w:ilvl w:val="0"/>
          <w:numId w:val="14"/>
        </w:numPr>
        <w:spacing w:after="120" w:line="240" w:lineRule="auto"/>
        <w:jc w:val="both"/>
      </w:pPr>
      <w:bookmarkStart w:id="20" w:name="_Hlk509488369"/>
      <w:bookmarkEnd w:id="1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1D9F52CA" w14:textId="77777777" w:rsidR="00DC1937" w:rsidRDefault="00DC1937" w:rsidP="00C82249">
      <w:pPr>
        <w:numPr>
          <w:ilvl w:val="0"/>
          <w:numId w:val="14"/>
        </w:numPr>
        <w:spacing w:after="120" w:line="240" w:lineRule="auto"/>
        <w:jc w:val="both"/>
      </w:pPr>
      <w:bookmarkStart w:id="2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0437BE5E" w14:textId="77777777"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2" w:name="_Hlk511034553"/>
      <w:bookmarkEnd w:id="10"/>
      <w:bookmarkEnd w:id="20"/>
      <w:bookmarkEnd w:id="21"/>
      <w:r>
        <w:rPr>
          <w:color w:val="2F5496" w:themeColor="accent1" w:themeShade="BF"/>
        </w:rPr>
        <w:t xml:space="preserve"> </w:t>
      </w:r>
      <w:r w:rsidR="00BE12E8" w:rsidRPr="00DD7985">
        <w:rPr>
          <w:color w:val="2F5496" w:themeColor="accent1" w:themeShade="BF"/>
        </w:rPr>
        <w:t>Zánik závazků</w:t>
      </w:r>
    </w:p>
    <w:p w14:paraId="698ECB5A" w14:textId="77777777" w:rsidR="00BE12E8" w:rsidRPr="00F90E81" w:rsidRDefault="00BE12E8" w:rsidP="00C82249">
      <w:pPr>
        <w:numPr>
          <w:ilvl w:val="0"/>
          <w:numId w:val="16"/>
        </w:numPr>
        <w:spacing w:after="120" w:line="240" w:lineRule="auto"/>
        <w:jc w:val="both"/>
      </w:pPr>
      <w:bookmarkStart w:id="23" w:name="_Hlk510778903"/>
      <w:r w:rsidRPr="00F90E81">
        <w:t>Smluvní strany se dohodly, že závazek ze smluvního vztahu zaniká v těchto případech:</w:t>
      </w:r>
    </w:p>
    <w:bookmarkEnd w:id="23"/>
    <w:p w14:paraId="261C262C" w14:textId="77777777"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20F11DBC" w14:textId="77777777" w:rsidR="002043AC" w:rsidRPr="00F90E81" w:rsidRDefault="00BC0CBB" w:rsidP="00C82249">
      <w:pPr>
        <w:pStyle w:val="Odrazka1zacislem"/>
        <w:numPr>
          <w:ilvl w:val="0"/>
          <w:numId w:val="23"/>
        </w:numPr>
        <w:rPr>
          <w:rFonts w:asciiTheme="minorHAnsi" w:hAnsiTheme="minorHAnsi"/>
          <w:sz w:val="22"/>
          <w:szCs w:val="22"/>
        </w:rPr>
      </w:pPr>
      <w:bookmarkStart w:id="2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6" w:name="_Hlk510519190"/>
      <w:bookmarkEnd w:id="24"/>
    </w:p>
    <w:bookmarkEnd w:id="26"/>
    <w:p w14:paraId="5D0E6E2A" w14:textId="7777777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0DA53C4B" w14:textId="77777777" w:rsidR="002043AC" w:rsidRPr="00DB54AE" w:rsidRDefault="002043AC" w:rsidP="00C82249">
      <w:pPr>
        <w:pStyle w:val="Odrazka1zacislem"/>
        <w:numPr>
          <w:ilvl w:val="0"/>
          <w:numId w:val="23"/>
        </w:numPr>
        <w:rPr>
          <w:rFonts w:asciiTheme="minorHAnsi" w:hAnsiTheme="minorHAnsi"/>
          <w:sz w:val="22"/>
          <w:szCs w:val="22"/>
        </w:rPr>
      </w:pPr>
      <w:r w:rsidRPr="00DB54AE">
        <w:rPr>
          <w:rFonts w:asciiTheme="minorHAnsi" w:hAnsiTheme="minorHAnsi"/>
          <w:sz w:val="22"/>
          <w:szCs w:val="22"/>
        </w:rPr>
        <w:t xml:space="preserve">z důvodu zániku oprávnění </w:t>
      </w:r>
      <w:r w:rsidR="00C65DF2" w:rsidRPr="00DB54AE">
        <w:rPr>
          <w:rFonts w:asciiTheme="minorHAnsi" w:hAnsiTheme="minorHAnsi"/>
          <w:sz w:val="22"/>
          <w:szCs w:val="22"/>
        </w:rPr>
        <w:t>Prodávajícího</w:t>
      </w:r>
      <w:r w:rsidRPr="00DB54AE">
        <w:rPr>
          <w:rFonts w:asciiTheme="minorHAnsi" w:hAnsiTheme="minorHAnsi"/>
          <w:sz w:val="22"/>
          <w:szCs w:val="22"/>
        </w:rPr>
        <w:t xml:space="preserve"> k podnikatelské činnosti dle této Smlouv</w:t>
      </w:r>
      <w:r w:rsidR="00A23200" w:rsidRPr="00DB54AE">
        <w:rPr>
          <w:rFonts w:asciiTheme="minorHAnsi" w:hAnsiTheme="minorHAnsi"/>
          <w:sz w:val="22"/>
          <w:szCs w:val="22"/>
        </w:rPr>
        <w:t>y.</w:t>
      </w:r>
    </w:p>
    <w:bookmarkEnd w:id="25"/>
    <w:p w14:paraId="1706C677" w14:textId="77777777" w:rsidR="00E6136C" w:rsidRPr="00DB54AE" w:rsidRDefault="00E6136C" w:rsidP="00E6136C">
      <w:pPr>
        <w:pStyle w:val="Odstavecseseznamem"/>
        <w:ind w:left="1068"/>
        <w:rPr>
          <w:sz w:val="22"/>
          <w:szCs w:val="22"/>
          <w:highlight w:val="cyan"/>
        </w:rPr>
      </w:pPr>
    </w:p>
    <w:p w14:paraId="79F88610" w14:textId="77777777" w:rsidR="002B3816" w:rsidRPr="00DB54AE" w:rsidRDefault="00544602" w:rsidP="00C82249">
      <w:pPr>
        <w:numPr>
          <w:ilvl w:val="0"/>
          <w:numId w:val="16"/>
        </w:numPr>
        <w:spacing w:after="120" w:line="240" w:lineRule="auto"/>
        <w:jc w:val="both"/>
      </w:pPr>
      <w:bookmarkStart w:id="27" w:name="_Hlk510517281"/>
      <w:r w:rsidRPr="00DB54AE">
        <w:t xml:space="preserve">Za podstatné porušení Smlouvy ze strany </w:t>
      </w:r>
      <w:r w:rsidR="00C65DF2" w:rsidRPr="00DB54AE">
        <w:t>Prodávajícího</w:t>
      </w:r>
      <w:r w:rsidRPr="00DB54AE">
        <w:t xml:space="preserve"> se považuje</w:t>
      </w:r>
      <w:r w:rsidR="00A23200" w:rsidRPr="00DB54AE">
        <w:t>:</w:t>
      </w:r>
    </w:p>
    <w:p w14:paraId="4E3C14EA" w14:textId="77777777" w:rsidR="00BE12E8" w:rsidRPr="00DB54AE" w:rsidRDefault="00F90499" w:rsidP="00C82249">
      <w:pPr>
        <w:pStyle w:val="Odstavecseseznamem"/>
        <w:numPr>
          <w:ilvl w:val="0"/>
          <w:numId w:val="15"/>
        </w:numPr>
        <w:rPr>
          <w:sz w:val="22"/>
          <w:szCs w:val="22"/>
        </w:rPr>
      </w:pPr>
      <w:r w:rsidRPr="00DB54AE">
        <w:rPr>
          <w:sz w:val="22"/>
          <w:szCs w:val="22"/>
        </w:rPr>
        <w:t>prodlení s předáním předmětu koupě</w:t>
      </w:r>
      <w:r w:rsidR="00A53C45" w:rsidRPr="00DB54AE">
        <w:rPr>
          <w:sz w:val="22"/>
          <w:szCs w:val="22"/>
        </w:rPr>
        <w:t xml:space="preserve">, které nemělo prokazatelně příčinu na straně </w:t>
      </w:r>
      <w:r w:rsidR="00923C21" w:rsidRPr="00DB54AE">
        <w:rPr>
          <w:sz w:val="22"/>
          <w:szCs w:val="22"/>
        </w:rPr>
        <w:t>Kupující</w:t>
      </w:r>
      <w:r w:rsidRPr="00DB54AE">
        <w:rPr>
          <w:sz w:val="22"/>
          <w:szCs w:val="22"/>
        </w:rPr>
        <w:t>ho</w:t>
      </w:r>
      <w:r w:rsidR="00A53C45" w:rsidRPr="00DB54AE">
        <w:rPr>
          <w:sz w:val="22"/>
          <w:szCs w:val="22"/>
        </w:rPr>
        <w:t>,</w:t>
      </w:r>
      <w:r w:rsidR="00BE12E8" w:rsidRPr="00DB54AE">
        <w:rPr>
          <w:sz w:val="22"/>
          <w:szCs w:val="22"/>
        </w:rPr>
        <w:t xml:space="preserve"> déle než </w:t>
      </w:r>
      <w:r w:rsidR="00AD5D0B" w:rsidRPr="00DB54AE">
        <w:rPr>
          <w:sz w:val="22"/>
          <w:szCs w:val="22"/>
        </w:rPr>
        <w:t>2</w:t>
      </w:r>
      <w:r w:rsidR="00BE12E8" w:rsidRPr="00DB54AE">
        <w:rPr>
          <w:sz w:val="22"/>
          <w:szCs w:val="22"/>
        </w:rPr>
        <w:t xml:space="preserve">0 </w:t>
      </w:r>
      <w:r w:rsidR="00AD5D0B" w:rsidRPr="00DB54AE">
        <w:rPr>
          <w:sz w:val="22"/>
          <w:szCs w:val="22"/>
        </w:rPr>
        <w:t>pracovních</w:t>
      </w:r>
      <w:r w:rsidR="001E5416" w:rsidRPr="00DB54AE">
        <w:rPr>
          <w:sz w:val="22"/>
          <w:szCs w:val="22"/>
        </w:rPr>
        <w:t xml:space="preserve"> dnů,</w:t>
      </w:r>
    </w:p>
    <w:p w14:paraId="71FB2DA5" w14:textId="77777777" w:rsidR="00BE12E8" w:rsidRPr="00DB54AE" w:rsidRDefault="00BE12E8" w:rsidP="00C82249">
      <w:pPr>
        <w:pStyle w:val="Odstavecseseznamem"/>
        <w:numPr>
          <w:ilvl w:val="0"/>
          <w:numId w:val="15"/>
        </w:numPr>
        <w:rPr>
          <w:sz w:val="22"/>
          <w:szCs w:val="22"/>
        </w:rPr>
      </w:pPr>
      <w:r w:rsidRPr="00DB54AE">
        <w:rPr>
          <w:sz w:val="22"/>
          <w:szCs w:val="22"/>
        </w:rPr>
        <w:t xml:space="preserve">zpoždění s plněním jakékoliv povinnosti stanovené touto </w:t>
      </w:r>
      <w:r w:rsidR="00B067C8" w:rsidRPr="00DB54AE">
        <w:rPr>
          <w:sz w:val="22"/>
          <w:szCs w:val="22"/>
        </w:rPr>
        <w:t>Smlouv</w:t>
      </w:r>
      <w:r w:rsidRPr="00DB54AE">
        <w:rPr>
          <w:sz w:val="22"/>
          <w:szCs w:val="22"/>
        </w:rPr>
        <w:t xml:space="preserve">ou o více než 10 </w:t>
      </w:r>
      <w:r w:rsidR="00AD5D0B" w:rsidRPr="00DB54AE">
        <w:rPr>
          <w:sz w:val="22"/>
          <w:szCs w:val="22"/>
        </w:rPr>
        <w:t>pracovních</w:t>
      </w:r>
      <w:r w:rsidR="002B3816" w:rsidRPr="00DB54AE">
        <w:rPr>
          <w:sz w:val="22"/>
          <w:szCs w:val="22"/>
        </w:rPr>
        <w:t xml:space="preserve"> dnů,</w:t>
      </w:r>
    </w:p>
    <w:p w14:paraId="4C130E93" w14:textId="77777777" w:rsidR="00BE12E8" w:rsidRPr="00DB54AE" w:rsidRDefault="00BE12E8" w:rsidP="00C82249">
      <w:pPr>
        <w:pStyle w:val="Odstavecseseznamem"/>
        <w:numPr>
          <w:ilvl w:val="0"/>
          <w:numId w:val="15"/>
        </w:numPr>
        <w:rPr>
          <w:sz w:val="22"/>
          <w:szCs w:val="22"/>
        </w:rPr>
      </w:pPr>
      <w:r w:rsidRPr="00DB54AE">
        <w:rPr>
          <w:sz w:val="22"/>
          <w:szCs w:val="22"/>
        </w:rPr>
        <w:t xml:space="preserve">neumožnění </w:t>
      </w:r>
      <w:r w:rsidR="00923C21" w:rsidRPr="00DB54AE">
        <w:rPr>
          <w:sz w:val="22"/>
          <w:szCs w:val="22"/>
        </w:rPr>
        <w:t>Kupující</w:t>
      </w:r>
      <w:r w:rsidR="00380D3B" w:rsidRPr="00DB54AE">
        <w:rPr>
          <w:sz w:val="22"/>
          <w:szCs w:val="22"/>
        </w:rPr>
        <w:t>mu</w:t>
      </w:r>
      <w:r w:rsidRPr="00DB54AE">
        <w:rPr>
          <w:sz w:val="22"/>
          <w:szCs w:val="22"/>
        </w:rPr>
        <w:t xml:space="preserve"> p</w:t>
      </w:r>
      <w:r w:rsidR="00DD3323" w:rsidRPr="00DB54AE">
        <w:rPr>
          <w:sz w:val="22"/>
          <w:szCs w:val="22"/>
        </w:rPr>
        <w:t xml:space="preserve">rovádět kontrolu </w:t>
      </w:r>
      <w:r w:rsidR="00380D3B" w:rsidRPr="00DB54AE">
        <w:rPr>
          <w:sz w:val="22"/>
          <w:szCs w:val="22"/>
        </w:rPr>
        <w:t xml:space="preserve">předmětu koupě při jeho převzetí </w:t>
      </w:r>
      <w:r w:rsidR="0056154C" w:rsidRPr="00DB54AE">
        <w:rPr>
          <w:sz w:val="22"/>
          <w:szCs w:val="22"/>
        </w:rPr>
        <w:t>a</w:t>
      </w:r>
      <w:r w:rsidR="00380D3B" w:rsidRPr="00DB54AE">
        <w:rPr>
          <w:sz w:val="22"/>
          <w:szCs w:val="22"/>
        </w:rPr>
        <w:t xml:space="preserve"> zprovoznění, </w:t>
      </w:r>
    </w:p>
    <w:p w14:paraId="1222EC28" w14:textId="77777777" w:rsidR="00BE12E8" w:rsidRPr="00DB54AE" w:rsidRDefault="00BE12E8" w:rsidP="00C82249">
      <w:pPr>
        <w:pStyle w:val="Odstavecseseznamem"/>
        <w:numPr>
          <w:ilvl w:val="0"/>
          <w:numId w:val="15"/>
        </w:numPr>
        <w:rPr>
          <w:sz w:val="22"/>
          <w:szCs w:val="22"/>
        </w:rPr>
      </w:pPr>
      <w:r w:rsidRPr="00DB54AE">
        <w:rPr>
          <w:sz w:val="22"/>
          <w:szCs w:val="22"/>
        </w:rPr>
        <w:t>nedodržování příslušných platných př</w:t>
      </w:r>
      <w:r w:rsidR="00DD3323" w:rsidRPr="00DB54AE">
        <w:rPr>
          <w:sz w:val="22"/>
          <w:szCs w:val="22"/>
        </w:rPr>
        <w:t>edpisů a ČSN</w:t>
      </w:r>
      <w:r w:rsidR="00C5158F" w:rsidRPr="00DB54AE">
        <w:rPr>
          <w:sz w:val="22"/>
          <w:szCs w:val="22"/>
        </w:rPr>
        <w:t xml:space="preserve"> souvisejících s předmětem koupě</w:t>
      </w:r>
      <w:r w:rsidR="0056154C" w:rsidRPr="00DB54AE">
        <w:rPr>
          <w:sz w:val="22"/>
          <w:szCs w:val="22"/>
        </w:rPr>
        <w:t>.</w:t>
      </w:r>
    </w:p>
    <w:p w14:paraId="60CA6A55" w14:textId="77777777" w:rsidR="00BE12E8" w:rsidRPr="00DB54AE" w:rsidRDefault="00BE12E8" w:rsidP="00C82249">
      <w:pPr>
        <w:numPr>
          <w:ilvl w:val="0"/>
          <w:numId w:val="16"/>
        </w:numPr>
        <w:spacing w:after="120" w:line="240" w:lineRule="auto"/>
        <w:jc w:val="both"/>
      </w:pPr>
      <w:r w:rsidRPr="00DB54AE">
        <w:lastRenderedPageBreak/>
        <w:t xml:space="preserve">Odstoupení od </w:t>
      </w:r>
      <w:r w:rsidR="00B067C8" w:rsidRPr="00DB54AE">
        <w:t>Smlouv</w:t>
      </w:r>
      <w:r w:rsidRPr="00DB54AE">
        <w:t>y se dále řídí ustanovením § 2001 a násl. OZ.</w:t>
      </w:r>
    </w:p>
    <w:p w14:paraId="505E3ABC" w14:textId="77777777" w:rsidR="00BE12E8" w:rsidRPr="00DB54AE" w:rsidRDefault="00BE12E8" w:rsidP="00C82249">
      <w:pPr>
        <w:numPr>
          <w:ilvl w:val="0"/>
          <w:numId w:val="16"/>
        </w:numPr>
        <w:spacing w:after="120" w:line="240" w:lineRule="auto"/>
        <w:jc w:val="both"/>
      </w:pPr>
      <w:r w:rsidRPr="00DB54AE">
        <w:t xml:space="preserve">Chce-li některá ze stran od této </w:t>
      </w:r>
      <w:r w:rsidR="00B067C8" w:rsidRPr="00DB54AE">
        <w:t>Smlouv</w:t>
      </w:r>
      <w:r w:rsidRPr="00DB54AE">
        <w:t xml:space="preserve">y odstoupit na základě ujednání této </w:t>
      </w:r>
      <w:r w:rsidR="00B067C8" w:rsidRPr="00DB54AE">
        <w:t>Smlouv</w:t>
      </w:r>
      <w:r w:rsidRPr="00DB54AE">
        <w:t xml:space="preserve">y, je povinna svoje odstoupení písemně oznámit druhé straně. V odstoupení musí být uveden důvod, pro který strana od </w:t>
      </w:r>
      <w:r w:rsidR="00B067C8" w:rsidRPr="00DB54AE">
        <w:t>Smlouv</w:t>
      </w:r>
      <w:r w:rsidRPr="00DB54AE">
        <w:t xml:space="preserve">y odstupuje a přesná citace ustanovení </w:t>
      </w:r>
      <w:r w:rsidR="00B067C8" w:rsidRPr="00DB54AE">
        <w:t>Smlouv</w:t>
      </w:r>
      <w:r w:rsidRPr="00DB54AE">
        <w:t xml:space="preserve">y, na jehož základě od </w:t>
      </w:r>
      <w:r w:rsidR="00B067C8" w:rsidRPr="00DB54AE">
        <w:t>Smlouv</w:t>
      </w:r>
      <w:r w:rsidRPr="00DB54AE">
        <w:t>y odstupuje, jinak je odstoupení neplatné.</w:t>
      </w:r>
    </w:p>
    <w:p w14:paraId="4A0021CD" w14:textId="77777777"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021D97B5" w14:textId="77777777"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4451B340" w14:textId="77777777"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D567672" w14:textId="77777777"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7"/>
    <w:p w14:paraId="490AB5E0" w14:textId="7777777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3AF030A3"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2B86A406" w14:textId="77777777"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2"/>
    <w:p w14:paraId="674F469B" w14:textId="77777777"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67548CA3"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31A42B5F" w14:textId="77777777"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0220B368"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3B8F52BB" w14:textId="77777777"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465A163"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49ED0817"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w:t>
      </w:r>
      <w:r>
        <w:lastRenderedPageBreak/>
        <w:t xml:space="preserve">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F8181B2" w14:textId="77777777" w:rsidR="00DB54AE" w:rsidRPr="00DB54AE" w:rsidRDefault="00923C21" w:rsidP="00D364CE">
      <w:pPr>
        <w:numPr>
          <w:ilvl w:val="0"/>
          <w:numId w:val="19"/>
        </w:numPr>
        <w:spacing w:after="60" w:line="240" w:lineRule="auto"/>
        <w:jc w:val="both"/>
      </w:pPr>
      <w:bookmarkStart w:id="28"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 xml:space="preserve">Smluvní strany berou na vědomí, že nebude-li Smlouva zveřejněna ani 90. den od jejího uzavření, je následujícím dnem zrušena od počátku s účinky </w:t>
      </w:r>
      <w:r w:rsidR="00AD5D0B" w:rsidRPr="00DB54AE">
        <w:t>případného bezdůvodného obohacení.</w:t>
      </w:r>
    </w:p>
    <w:p w14:paraId="71B1FCAD" w14:textId="7E806A78" w:rsidR="00AD5D0B" w:rsidRPr="00DB54AE" w:rsidRDefault="00BA3E13" w:rsidP="00D364CE">
      <w:pPr>
        <w:numPr>
          <w:ilvl w:val="0"/>
          <w:numId w:val="19"/>
        </w:numPr>
        <w:spacing w:after="60" w:line="240" w:lineRule="auto"/>
        <w:jc w:val="both"/>
      </w:pPr>
      <w:r w:rsidRPr="00DB54AE">
        <w:t xml:space="preserve"> </w:t>
      </w:r>
      <w:bookmarkEnd w:id="28"/>
      <w:r w:rsidR="00AD5D0B" w:rsidRPr="00DB54AE">
        <w:t xml:space="preserve">Tato Smlouva byla vyhotovena ve dvou stejnopisech, z nichž po jednom stejnopisu obdrží po jejím podpisu každá Smluvní strana. </w:t>
      </w:r>
    </w:p>
    <w:p w14:paraId="54376FFC" w14:textId="77777777"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C31E40D" w14:textId="77777777"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0106AC41" w14:textId="77777777" w:rsidR="00AD5D0B" w:rsidRPr="00DB54AE" w:rsidRDefault="00AD5D0B" w:rsidP="00DB54AE">
      <w:pPr>
        <w:numPr>
          <w:ilvl w:val="0"/>
          <w:numId w:val="5"/>
        </w:numPr>
        <w:spacing w:after="60" w:line="240" w:lineRule="auto"/>
        <w:jc w:val="both"/>
      </w:pPr>
      <w:r w:rsidRPr="00DB54AE">
        <w:t>Součástí Smlouvy jsou tyto přílohy:</w:t>
      </w:r>
    </w:p>
    <w:p w14:paraId="31A5534C" w14:textId="77777777" w:rsidR="00DB54AE" w:rsidRPr="00DB54AE"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1 – Předmět koupě a podrobný komponentový popis</w:t>
      </w:r>
    </w:p>
    <w:p w14:paraId="2E795C22" w14:textId="77777777" w:rsidR="00DB54AE" w:rsidRPr="00DB54AE"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2 – Licenční ujednání upravující právo k užívání poskytnutých softwarových licencí</w:t>
      </w:r>
    </w:p>
    <w:p w14:paraId="00D04FCF" w14:textId="77777777" w:rsidR="00DB54AE" w:rsidRPr="00DB54AE"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3 – Cenové kalkulace a stanovení celkové ceny (položkový rozpočet)</w:t>
      </w:r>
    </w:p>
    <w:p w14:paraId="5292684D" w14:textId="77777777" w:rsidR="00DB54AE" w:rsidRPr="00DB54AE"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4 – Požadavky na součinnost Kupujícího</w:t>
      </w:r>
    </w:p>
    <w:p w14:paraId="55B84357" w14:textId="77777777" w:rsidR="00DB54AE" w:rsidRPr="00DB54AE"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5 – Zodpovědné osoby</w:t>
      </w:r>
    </w:p>
    <w:p w14:paraId="3BC35557" w14:textId="77777777" w:rsidR="00C54D4D" w:rsidRDefault="00DB54AE" w:rsidP="00DB54AE">
      <w:pPr>
        <w:pStyle w:val="Odstavecseseznamem"/>
        <w:numPr>
          <w:ilvl w:val="0"/>
          <w:numId w:val="42"/>
        </w:numPr>
        <w:spacing w:before="0" w:line="240" w:lineRule="auto"/>
        <w:contextualSpacing w:val="0"/>
        <w:rPr>
          <w:sz w:val="22"/>
          <w:szCs w:val="22"/>
        </w:rPr>
      </w:pPr>
      <w:r w:rsidRPr="00DB54AE">
        <w:rPr>
          <w:sz w:val="22"/>
          <w:szCs w:val="22"/>
        </w:rPr>
        <w:t>Příloha č. 6 – Bezpečnostní požadavky</w:t>
      </w:r>
    </w:p>
    <w:p w14:paraId="18FC3F18" w14:textId="0AC95562" w:rsidR="00DB54AE" w:rsidRPr="00DB54AE" w:rsidRDefault="00C54D4D" w:rsidP="00DB54AE">
      <w:pPr>
        <w:pStyle w:val="Odstavecseseznamem"/>
        <w:numPr>
          <w:ilvl w:val="0"/>
          <w:numId w:val="42"/>
        </w:numPr>
        <w:spacing w:before="0" w:line="240" w:lineRule="auto"/>
        <w:contextualSpacing w:val="0"/>
        <w:rPr>
          <w:sz w:val="22"/>
          <w:szCs w:val="22"/>
        </w:rPr>
      </w:pPr>
      <w:r w:rsidRPr="00C54D4D">
        <w:rPr>
          <w:sz w:val="22"/>
          <w:szCs w:val="22"/>
        </w:rPr>
        <w:t>Příloha č. 7 – Všeobecné obchodní podmínky</w:t>
      </w:r>
    </w:p>
    <w:p w14:paraId="2E0BC5F1" w14:textId="77777777" w:rsidR="000769C2" w:rsidRPr="00DB54AE" w:rsidRDefault="000769C2" w:rsidP="00DB54AE">
      <w:pPr>
        <w:spacing w:after="60" w:line="240" w:lineRule="auto"/>
        <w:ind w:left="708"/>
      </w:pPr>
    </w:p>
    <w:p w14:paraId="14B56853" w14:textId="77777777" w:rsidR="000769C2" w:rsidRPr="00A46892" w:rsidRDefault="000769C2" w:rsidP="00C82249">
      <w:pPr>
        <w:numPr>
          <w:ilvl w:val="0"/>
          <w:numId w:val="5"/>
        </w:numPr>
        <w:spacing w:after="60" w:line="240" w:lineRule="auto"/>
        <w:jc w:val="both"/>
      </w:pPr>
      <w:bookmarkStart w:id="2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29"/>
    <w:p w14:paraId="0E6FED5B" w14:textId="12E4BEC3" w:rsidR="00DB54AE" w:rsidRDefault="00DB54AE">
      <w:r>
        <w:br w:type="page"/>
      </w:r>
    </w:p>
    <w:p w14:paraId="6C76E846" w14:textId="77777777" w:rsidR="00BE12E8" w:rsidRDefault="00BE12E8" w:rsidP="00BE12E8">
      <w:pPr>
        <w:ind w:right="-766"/>
        <w:jc w:val="both"/>
      </w:pPr>
    </w:p>
    <w:p w14:paraId="76F16E2F" w14:textId="77777777"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r>
      <w:r w:rsidR="00E90BB3">
        <w:rPr>
          <w:szCs w:val="20"/>
        </w:rPr>
        <w:t xml:space="preserve">       </w:t>
      </w:r>
      <w:r w:rsidR="00E90BB3">
        <w:rPr>
          <w:szCs w:val="20"/>
        </w:rPr>
        <w:tab/>
      </w:r>
      <w:r>
        <w:rPr>
          <w:szCs w:val="20"/>
        </w:rPr>
        <w:t xml:space="preserve">Za </w:t>
      </w:r>
      <w:r w:rsidR="00C65DF2">
        <w:rPr>
          <w:szCs w:val="20"/>
        </w:rPr>
        <w:t>Prodávajícího</w:t>
      </w:r>
      <w:r>
        <w:rPr>
          <w:szCs w:val="20"/>
        </w:rPr>
        <w:t>:</w:t>
      </w:r>
    </w:p>
    <w:p w14:paraId="271CEEC5" w14:textId="77777777" w:rsidR="002A665E" w:rsidRDefault="002A665E" w:rsidP="002A665E">
      <w:pPr>
        <w:spacing w:before="120" w:after="120"/>
      </w:pPr>
    </w:p>
    <w:p w14:paraId="1C00D269" w14:textId="159D0ACB" w:rsidR="002A665E" w:rsidRDefault="002A665E" w:rsidP="002A665E">
      <w:pPr>
        <w:spacing w:before="120" w:after="120"/>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ab/>
      </w:r>
      <w:r w:rsidRPr="00A0362A">
        <w:tab/>
      </w:r>
      <w:r w:rsidRPr="00A0362A">
        <w:tab/>
      </w:r>
      <w:r w:rsidRPr="00A0362A">
        <w:tab/>
        <w:t xml:space="preserve">      </w:t>
      </w:r>
      <w:r>
        <w:tab/>
      </w:r>
      <w:r w:rsidRPr="00A0362A">
        <w:t>V</w:t>
      </w:r>
      <w:r>
        <w:t xml:space="preserve"> </w:t>
      </w:r>
      <w:r w:rsidRPr="00F10F49">
        <w:rPr>
          <w:highlight w:val="yellow"/>
        </w:rPr>
        <w:t>……………………….</w:t>
      </w:r>
      <w:r>
        <w:t xml:space="preserve"> </w:t>
      </w:r>
      <w:r w:rsidRPr="00A0362A">
        <w:t>dne</w:t>
      </w:r>
    </w:p>
    <w:p w14:paraId="6694CDA0" w14:textId="77777777" w:rsidR="002A665E" w:rsidRDefault="002A665E" w:rsidP="002A665E">
      <w:pPr>
        <w:spacing w:before="120" w:after="120"/>
      </w:pPr>
    </w:p>
    <w:p w14:paraId="405BAA1E" w14:textId="77777777" w:rsidR="00BC32E7" w:rsidRDefault="00BC32E7" w:rsidP="002A665E">
      <w:pPr>
        <w:spacing w:before="120" w:after="120"/>
      </w:pPr>
    </w:p>
    <w:p w14:paraId="0FCC81A5" w14:textId="77777777" w:rsidR="00BC32E7" w:rsidRDefault="00BC32E7" w:rsidP="002A665E">
      <w:pPr>
        <w:spacing w:before="120" w:after="120"/>
      </w:pPr>
    </w:p>
    <w:p w14:paraId="268C89BC" w14:textId="77777777" w:rsidR="00BC32E7" w:rsidRDefault="00BC32E7" w:rsidP="002A665E">
      <w:pPr>
        <w:spacing w:before="120" w:after="120"/>
      </w:pPr>
    </w:p>
    <w:p w14:paraId="75A157E7" w14:textId="68A823D8" w:rsidR="002A665E" w:rsidRDefault="002A665E" w:rsidP="002A665E">
      <w:pPr>
        <w:spacing w:before="120" w:after="0" w:line="240" w:lineRule="auto"/>
      </w:pPr>
      <w:r>
        <w:t>…………..……………………………………</w:t>
      </w:r>
      <w:r w:rsidR="00BC32E7">
        <w:t>…</w:t>
      </w:r>
      <w:r>
        <w:tab/>
      </w:r>
      <w:r>
        <w:tab/>
      </w:r>
      <w:r>
        <w:tab/>
        <w:t xml:space="preserve">     </w:t>
      </w:r>
      <w:r>
        <w:tab/>
        <w:t>………………………………………………</w:t>
      </w:r>
    </w:p>
    <w:p w14:paraId="49B61E85" w14:textId="77777777" w:rsidR="002A665E" w:rsidRDefault="002A665E" w:rsidP="002A665E">
      <w:pPr>
        <w:spacing w:after="0"/>
      </w:pPr>
      <w:r>
        <w:t xml:space="preserve">   MUDr. Tomáš Gottvald, MHA</w:t>
      </w:r>
      <w:r>
        <w:tab/>
      </w:r>
      <w:r>
        <w:tab/>
      </w:r>
      <w:r>
        <w:tab/>
      </w:r>
      <w:r>
        <w:tab/>
      </w:r>
      <w:r>
        <w:tab/>
      </w:r>
      <w:r>
        <w:tab/>
      </w:r>
      <w:r>
        <w:rPr>
          <w:highlight w:val="yellow"/>
        </w:rPr>
        <w:t>jméno</w:t>
      </w:r>
    </w:p>
    <w:p w14:paraId="6ABDB9D8" w14:textId="77777777" w:rsidR="002A665E" w:rsidRDefault="002A665E" w:rsidP="002A665E">
      <w:pPr>
        <w:spacing w:after="0"/>
      </w:pPr>
      <w:r>
        <w:t xml:space="preserve">     předseda představenstva</w:t>
      </w:r>
      <w:r>
        <w:tab/>
      </w:r>
      <w:r>
        <w:tab/>
      </w:r>
      <w:r>
        <w:tab/>
      </w:r>
      <w:r>
        <w:tab/>
      </w:r>
      <w:r>
        <w:tab/>
      </w:r>
      <w:r>
        <w:tab/>
      </w:r>
      <w:r>
        <w:rPr>
          <w:highlight w:val="yellow"/>
        </w:rPr>
        <w:t>pozice</w:t>
      </w:r>
      <w:r>
        <w:tab/>
      </w:r>
    </w:p>
    <w:p w14:paraId="0B8F7208" w14:textId="77777777" w:rsidR="002A665E" w:rsidRDefault="002A665E" w:rsidP="002A665E">
      <w:pPr>
        <w:spacing w:before="120" w:after="120"/>
      </w:pPr>
    </w:p>
    <w:p w14:paraId="4690AE2C" w14:textId="77777777" w:rsidR="00BC32E7" w:rsidRDefault="00BC32E7" w:rsidP="002A665E">
      <w:pPr>
        <w:spacing w:before="120" w:after="120"/>
      </w:pPr>
    </w:p>
    <w:p w14:paraId="5DC09EF2" w14:textId="77777777" w:rsidR="00BC32E7" w:rsidRDefault="00BC32E7" w:rsidP="002A665E">
      <w:pPr>
        <w:spacing w:before="120" w:after="120"/>
      </w:pPr>
    </w:p>
    <w:p w14:paraId="792B950A" w14:textId="77777777" w:rsidR="00BC32E7" w:rsidRDefault="00BC32E7" w:rsidP="002A665E">
      <w:pPr>
        <w:spacing w:before="120" w:after="120"/>
      </w:pPr>
    </w:p>
    <w:p w14:paraId="1916593A" w14:textId="77777777" w:rsidR="002A665E" w:rsidRDefault="002A665E" w:rsidP="002A665E">
      <w:pPr>
        <w:spacing w:before="120" w:after="120"/>
      </w:pPr>
    </w:p>
    <w:p w14:paraId="12C64251" w14:textId="15F1DFA8" w:rsidR="00062834" w:rsidRDefault="00062834" w:rsidP="00062834">
      <w:pPr>
        <w:tabs>
          <w:tab w:val="left" w:pos="2268"/>
        </w:tabs>
        <w:autoSpaceDN w:val="0"/>
        <w:spacing w:after="0"/>
      </w:pPr>
      <w:r>
        <w:t>………..</w:t>
      </w:r>
      <w:r w:rsidRPr="00A0362A">
        <w:t>……………………………………</w:t>
      </w:r>
      <w:r w:rsidR="00BC32E7">
        <w:t>……</w:t>
      </w:r>
      <w:r w:rsidRPr="00A0362A">
        <w:tab/>
      </w:r>
      <w:r w:rsidRPr="00A0362A">
        <w:tab/>
      </w:r>
      <w:r>
        <w:tab/>
      </w:r>
      <w:r>
        <w:tab/>
        <w:t>……………………………………………</w:t>
      </w:r>
      <w:r w:rsidR="00BC32E7">
        <w:t>…</w:t>
      </w:r>
      <w:r>
        <w:t>.</w:t>
      </w:r>
    </w:p>
    <w:p w14:paraId="5AEADFBC" w14:textId="22FF647A" w:rsidR="00062834" w:rsidRPr="00A0362A" w:rsidRDefault="00062834" w:rsidP="00062834">
      <w:pPr>
        <w:tabs>
          <w:tab w:val="left" w:pos="2268"/>
        </w:tabs>
        <w:autoSpaceDN w:val="0"/>
        <w:spacing w:after="60" w:line="240" w:lineRule="auto"/>
      </w:pPr>
      <w:r>
        <w:t xml:space="preserve">        </w:t>
      </w:r>
      <w:r w:rsidR="00BC32E7">
        <w:t xml:space="preserve">     </w:t>
      </w:r>
      <w:r>
        <w:t xml:space="preserve"> Ing. Petr Vrba</w:t>
      </w:r>
      <w:r w:rsidRPr="009B07A9">
        <w:t xml:space="preserve"> </w:t>
      </w:r>
      <w:r>
        <w:tab/>
      </w:r>
      <w:r>
        <w:tab/>
      </w:r>
      <w:r>
        <w:tab/>
      </w:r>
      <w:proofErr w:type="gramStart"/>
      <w:r>
        <w:tab/>
        <w:t xml:space="preserve">  </w:t>
      </w:r>
      <w:r>
        <w:tab/>
      </w:r>
      <w:proofErr w:type="gramEnd"/>
      <w:r>
        <w:t xml:space="preserve">                  </w:t>
      </w:r>
      <w:r>
        <w:tab/>
      </w:r>
      <w:r w:rsidRPr="00F3760E">
        <w:rPr>
          <w:highlight w:val="yellow"/>
        </w:rPr>
        <w:t>jméno</w:t>
      </w:r>
    </w:p>
    <w:p w14:paraId="7F9625FB" w14:textId="5F8A6B63" w:rsidR="00062834" w:rsidRDefault="00062834" w:rsidP="00062834">
      <w:pPr>
        <w:spacing w:after="0"/>
      </w:pPr>
      <w:r>
        <w:t xml:space="preserve">  místopředseda představenstva</w:t>
      </w:r>
      <w:r w:rsidRPr="00A0362A">
        <w:tab/>
      </w:r>
      <w:r>
        <w:tab/>
      </w:r>
      <w:r>
        <w:tab/>
      </w:r>
      <w:r>
        <w:tab/>
        <w:t xml:space="preserve"> </w:t>
      </w:r>
      <w:r>
        <w:tab/>
      </w:r>
      <w:r w:rsidRPr="009A0A4E">
        <w:rPr>
          <w:highlight w:val="yellow"/>
        </w:rPr>
        <w:t>pozice</w:t>
      </w:r>
      <w:r w:rsidRPr="00A0362A">
        <w:tab/>
      </w:r>
    </w:p>
    <w:p w14:paraId="1146A240" w14:textId="77777777" w:rsidR="002A665E" w:rsidRDefault="002A665E" w:rsidP="002A665E">
      <w:pPr>
        <w:rPr>
          <w:b/>
          <w:sz w:val="24"/>
          <w:szCs w:val="20"/>
        </w:rPr>
      </w:pPr>
      <w:r>
        <w:rPr>
          <w:b/>
          <w:sz w:val="24"/>
          <w:szCs w:val="20"/>
        </w:rPr>
        <w:br w:type="page"/>
      </w:r>
    </w:p>
    <w:p w14:paraId="46E127B6" w14:textId="77777777" w:rsidR="00DB54AE" w:rsidRDefault="00DB54AE" w:rsidP="00DB54AE">
      <w:pPr>
        <w:pStyle w:val="Nadpis1"/>
        <w:keepNext w:val="0"/>
        <w:tabs>
          <w:tab w:val="left" w:pos="0"/>
        </w:tabs>
        <w:spacing w:before="240" w:after="240" w:line="240" w:lineRule="auto"/>
        <w:jc w:val="both"/>
        <w:rPr>
          <w:rFonts w:asciiTheme="minorHAnsi" w:hAnsiTheme="minorHAnsi"/>
          <w:color w:val="auto"/>
          <w:szCs w:val="22"/>
        </w:rPr>
      </w:pPr>
      <w:bookmarkStart w:id="30" w:name="_Hlk506979781"/>
      <w:bookmarkStart w:id="31" w:name="_Hlk158012236"/>
      <w:bookmarkStart w:id="32" w:name="_Toc472491069"/>
      <w:r w:rsidRPr="008071A0">
        <w:rPr>
          <w:rFonts w:asciiTheme="minorHAnsi" w:hAnsiTheme="minorHAnsi"/>
          <w:color w:val="auto"/>
          <w:szCs w:val="22"/>
        </w:rPr>
        <w:lastRenderedPageBreak/>
        <w:t xml:space="preserve">Příloha č. 1 </w:t>
      </w:r>
    </w:p>
    <w:p w14:paraId="46BD4436" w14:textId="77777777" w:rsidR="00DB54AE" w:rsidRPr="008071A0"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koupě a podrobný komponentový popis</w:t>
      </w:r>
    </w:p>
    <w:p w14:paraId="65EEB650" w14:textId="77777777" w:rsidR="00DB54AE" w:rsidRDefault="00DB54AE" w:rsidP="00DB54AE">
      <w:bookmarkStart w:id="33" w:name="_Hlk506979792"/>
      <w:bookmarkEnd w:id="30"/>
      <w:r>
        <w:rPr>
          <w:highlight w:val="yellow"/>
        </w:rPr>
        <w:t>Žlutě vyznačené vyplňuje Prodávající</w:t>
      </w:r>
    </w:p>
    <w:p w14:paraId="11D50E15" w14:textId="77777777" w:rsidR="00DB54AE" w:rsidRDefault="00DB54AE" w:rsidP="00DB54AE">
      <w:pPr>
        <w:rPr>
          <w:szCs w:val="20"/>
        </w:rPr>
      </w:pPr>
    </w:p>
    <w:p w14:paraId="3589E823" w14:textId="77777777" w:rsidR="00DB54AE" w:rsidRPr="009B6F8C" w:rsidRDefault="00DB54AE" w:rsidP="00DB54AE">
      <w:pPr>
        <w:rPr>
          <w:szCs w:val="20"/>
        </w:rPr>
      </w:pPr>
      <w:r>
        <w:rPr>
          <w:szCs w:val="20"/>
        </w:rPr>
        <w:t>Předmět koupě je tvořen těmito položkami, softwarovými licencemi: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DB54AE" w:rsidRPr="00502FBB" w14:paraId="1138C03F" w14:textId="77777777" w:rsidTr="000C1F1F">
        <w:trPr>
          <w:trHeight w:val="568"/>
          <w:tblHeader/>
        </w:trPr>
        <w:tc>
          <w:tcPr>
            <w:tcW w:w="9781" w:type="dxa"/>
            <w:gridSpan w:val="3"/>
            <w:tcBorders>
              <w:bottom w:val="single" w:sz="4" w:space="0" w:color="auto"/>
            </w:tcBorders>
            <w:shd w:val="clear" w:color="auto" w:fill="FFF2CC" w:themeFill="accent4" w:themeFillTint="33"/>
            <w:vAlign w:val="center"/>
          </w:tcPr>
          <w:p w14:paraId="069B5C83" w14:textId="77777777" w:rsidR="00DB54AE" w:rsidRDefault="00DB54AE" w:rsidP="000C1F1F">
            <w:pPr>
              <w:spacing w:after="0" w:line="240" w:lineRule="auto"/>
              <w:jc w:val="center"/>
              <w:rPr>
                <w:rFonts w:cs="Tahoma"/>
                <w:b/>
                <w:bCs/>
              </w:rPr>
            </w:pPr>
            <w:bookmarkStart w:id="34" w:name="_Hlk85787818"/>
            <w:r>
              <w:rPr>
                <w:rFonts w:cs="Tahoma"/>
                <w:b/>
                <w:bCs/>
              </w:rPr>
              <w:t xml:space="preserve">Software pro vzdálenou správu koncových zařízení </w:t>
            </w:r>
          </w:p>
        </w:tc>
      </w:tr>
      <w:tr w:rsidR="00DB54AE" w:rsidRPr="00502FBB" w14:paraId="6AD84DC5" w14:textId="77777777" w:rsidTr="000C1F1F">
        <w:trPr>
          <w:trHeight w:val="568"/>
          <w:tblHeader/>
        </w:trPr>
        <w:tc>
          <w:tcPr>
            <w:tcW w:w="7797" w:type="dxa"/>
            <w:tcBorders>
              <w:bottom w:val="single" w:sz="4" w:space="0" w:color="auto"/>
            </w:tcBorders>
            <w:shd w:val="clear" w:color="auto" w:fill="FFF2CC" w:themeFill="accent4" w:themeFillTint="33"/>
            <w:vAlign w:val="center"/>
          </w:tcPr>
          <w:p w14:paraId="4933DC45" w14:textId="77777777" w:rsidR="00DB54AE" w:rsidRPr="009B6F8C" w:rsidRDefault="00DB54AE" w:rsidP="000C1F1F">
            <w:pPr>
              <w:spacing w:after="0" w:line="240" w:lineRule="auto"/>
              <w:jc w:val="center"/>
              <w:rPr>
                <w:rFonts w:cs="Tahoma"/>
                <w:b/>
                <w:bCs/>
              </w:rPr>
            </w:pPr>
            <w:r w:rsidRPr="009B6F8C">
              <w:rPr>
                <w:rFonts w:cs="Tahoma"/>
                <w:b/>
                <w:bCs/>
              </w:rPr>
              <w:t>Položka</w:t>
            </w:r>
          </w:p>
          <w:p w14:paraId="6596236C" w14:textId="77777777" w:rsidR="00DB54AE" w:rsidRPr="005D49F7" w:rsidRDefault="00DB54AE" w:rsidP="000C1F1F">
            <w:pPr>
              <w:spacing w:after="0" w:line="240" w:lineRule="auto"/>
              <w:jc w:val="center"/>
              <w:rPr>
                <w:rFonts w:cs="Tahoma"/>
                <w:b/>
                <w:bCs/>
                <w:highlight w:val="yellow"/>
              </w:rPr>
            </w:pPr>
            <w:r w:rsidRPr="009B6F8C">
              <w:rPr>
                <w:rFonts w:cs="Tahoma"/>
                <w:b/>
                <w:bCs/>
              </w:rPr>
              <w:t>(Produktové číslo)</w:t>
            </w:r>
          </w:p>
        </w:tc>
        <w:tc>
          <w:tcPr>
            <w:tcW w:w="1134" w:type="dxa"/>
            <w:tcBorders>
              <w:bottom w:val="single" w:sz="4" w:space="0" w:color="auto"/>
            </w:tcBorders>
            <w:shd w:val="clear" w:color="auto" w:fill="FFF2CC" w:themeFill="accent4" w:themeFillTint="33"/>
            <w:vAlign w:val="center"/>
          </w:tcPr>
          <w:p w14:paraId="4BD9D6B4" w14:textId="77777777" w:rsidR="00DB54AE" w:rsidRDefault="00DB54AE" w:rsidP="000C1F1F">
            <w:pPr>
              <w:spacing w:after="0" w:line="240" w:lineRule="auto"/>
              <w:jc w:val="center"/>
              <w:rPr>
                <w:rFonts w:cs="Tahoma"/>
                <w:b/>
                <w:bCs/>
              </w:rPr>
            </w:pPr>
            <w:r>
              <w:rPr>
                <w:rFonts w:cs="Tahoma"/>
                <w:b/>
                <w:bCs/>
              </w:rPr>
              <w:t>Typ licencí</w:t>
            </w:r>
          </w:p>
        </w:tc>
        <w:tc>
          <w:tcPr>
            <w:tcW w:w="850" w:type="dxa"/>
            <w:tcBorders>
              <w:bottom w:val="single" w:sz="4" w:space="0" w:color="auto"/>
            </w:tcBorders>
            <w:shd w:val="clear" w:color="auto" w:fill="FFF2CC" w:themeFill="accent4" w:themeFillTint="33"/>
            <w:vAlign w:val="center"/>
          </w:tcPr>
          <w:p w14:paraId="7F0E8384" w14:textId="77777777" w:rsidR="00DB54AE" w:rsidRDefault="00DB54AE" w:rsidP="000C1F1F">
            <w:pPr>
              <w:spacing w:after="0" w:line="240" w:lineRule="auto"/>
              <w:jc w:val="center"/>
              <w:rPr>
                <w:rFonts w:cs="Tahoma"/>
                <w:b/>
                <w:bCs/>
              </w:rPr>
            </w:pPr>
            <w:r>
              <w:rPr>
                <w:rFonts w:cs="Tahoma"/>
                <w:b/>
                <w:bCs/>
              </w:rPr>
              <w:t>Počet licencí</w:t>
            </w:r>
          </w:p>
        </w:tc>
      </w:tr>
      <w:tr w:rsidR="00DB54AE" w:rsidRPr="00502FBB" w14:paraId="1212A2D8" w14:textId="77777777" w:rsidTr="000C1F1F">
        <w:trPr>
          <w:trHeight w:val="397"/>
        </w:trPr>
        <w:tc>
          <w:tcPr>
            <w:tcW w:w="7797" w:type="dxa"/>
            <w:tcBorders>
              <w:top w:val="single" w:sz="4" w:space="0" w:color="auto"/>
              <w:left w:val="single" w:sz="4" w:space="0" w:color="auto"/>
              <w:right w:val="single" w:sz="4" w:space="0" w:color="auto"/>
            </w:tcBorders>
            <w:vAlign w:val="center"/>
          </w:tcPr>
          <w:p w14:paraId="072C7149" w14:textId="77777777" w:rsidR="00DB54AE" w:rsidRPr="009B6F8C" w:rsidRDefault="00DB54AE" w:rsidP="000C1F1F">
            <w:pPr>
              <w:spacing w:after="0" w:line="240" w:lineRule="auto"/>
              <w:rPr>
                <w:rFonts w:cs="Calibri"/>
              </w:rPr>
            </w:pPr>
            <w:r w:rsidRPr="009B6F8C">
              <w:t>Licence pro provozovaný software vzdálené správy koncových zařízení pro 40 jmenných agentů (uživatelů) s právem užití na 1 rok</w:t>
            </w:r>
          </w:p>
        </w:tc>
        <w:tc>
          <w:tcPr>
            <w:tcW w:w="1134" w:type="dxa"/>
            <w:tcBorders>
              <w:top w:val="single" w:sz="4" w:space="0" w:color="auto"/>
              <w:left w:val="single" w:sz="4" w:space="0" w:color="auto"/>
              <w:right w:val="single" w:sz="4" w:space="0" w:color="auto"/>
            </w:tcBorders>
            <w:vAlign w:val="center"/>
          </w:tcPr>
          <w:p w14:paraId="4F02B497" w14:textId="77777777" w:rsidR="00DB54AE" w:rsidRPr="00D43723" w:rsidRDefault="00DB54AE" w:rsidP="000C1F1F">
            <w:pPr>
              <w:spacing w:after="0" w:line="240" w:lineRule="auto"/>
              <w:jc w:val="center"/>
              <w:rPr>
                <w:rFonts w:cs="Calibri"/>
              </w:rPr>
            </w:pPr>
            <w:r w:rsidRPr="00D43723">
              <w:rPr>
                <w:rFonts w:cs="Calibri"/>
              </w:rPr>
              <w:t>user</w:t>
            </w:r>
          </w:p>
        </w:tc>
        <w:tc>
          <w:tcPr>
            <w:tcW w:w="850" w:type="dxa"/>
            <w:tcBorders>
              <w:top w:val="single" w:sz="4" w:space="0" w:color="auto"/>
              <w:left w:val="single" w:sz="4" w:space="0" w:color="auto"/>
              <w:right w:val="single" w:sz="4" w:space="0" w:color="auto"/>
            </w:tcBorders>
            <w:vAlign w:val="center"/>
          </w:tcPr>
          <w:p w14:paraId="35D6F21A" w14:textId="77777777" w:rsidR="00DB54AE" w:rsidRPr="00A775DB" w:rsidRDefault="00DB54AE" w:rsidP="000C1F1F">
            <w:pPr>
              <w:spacing w:after="0" w:line="240" w:lineRule="auto"/>
              <w:jc w:val="center"/>
              <w:rPr>
                <w:rFonts w:cs="Calibri"/>
              </w:rPr>
            </w:pPr>
            <w:r>
              <w:rPr>
                <w:rFonts w:cs="Calibri"/>
              </w:rPr>
              <w:t>40</w:t>
            </w:r>
          </w:p>
        </w:tc>
      </w:tr>
      <w:tr w:rsidR="00DB54AE" w:rsidRPr="00502FBB" w14:paraId="4F476882" w14:textId="77777777" w:rsidTr="000C1F1F">
        <w:trPr>
          <w:trHeight w:val="397"/>
        </w:trPr>
        <w:tc>
          <w:tcPr>
            <w:tcW w:w="7797" w:type="dxa"/>
            <w:tcBorders>
              <w:top w:val="single" w:sz="4" w:space="0" w:color="auto"/>
              <w:left w:val="single" w:sz="4" w:space="0" w:color="auto"/>
              <w:right w:val="single" w:sz="4" w:space="0" w:color="auto"/>
            </w:tcBorders>
            <w:vAlign w:val="center"/>
          </w:tcPr>
          <w:p w14:paraId="6FFDF250" w14:textId="77777777" w:rsidR="00DB54AE" w:rsidRPr="009B6F8C" w:rsidRDefault="00DB54AE" w:rsidP="000C1F1F">
            <w:pPr>
              <w:spacing w:after="0" w:line="240" w:lineRule="auto"/>
              <w:rPr>
                <w:rFonts w:cs="Calibri"/>
              </w:rPr>
            </w:pPr>
            <w:r w:rsidRPr="009B6F8C">
              <w:t>Licence pro provozovaný software vzdálené správy koncových zařízení pro 4000 spravovaných zařízení s právem užití na 1 rok</w:t>
            </w:r>
          </w:p>
        </w:tc>
        <w:tc>
          <w:tcPr>
            <w:tcW w:w="1134" w:type="dxa"/>
            <w:tcBorders>
              <w:top w:val="single" w:sz="4" w:space="0" w:color="auto"/>
              <w:left w:val="single" w:sz="4" w:space="0" w:color="auto"/>
              <w:right w:val="single" w:sz="4" w:space="0" w:color="auto"/>
            </w:tcBorders>
            <w:vAlign w:val="center"/>
          </w:tcPr>
          <w:p w14:paraId="7C45C997" w14:textId="77777777" w:rsidR="00DB54AE" w:rsidRPr="00D43723" w:rsidRDefault="00DB54AE" w:rsidP="000C1F1F">
            <w:pPr>
              <w:spacing w:after="0" w:line="240" w:lineRule="auto"/>
              <w:jc w:val="center"/>
              <w:rPr>
                <w:rFonts w:cs="Calibri"/>
              </w:rPr>
            </w:pPr>
            <w:proofErr w:type="spellStart"/>
            <w:r w:rsidRPr="00D43723">
              <w:rPr>
                <w:rFonts w:cs="Calibri"/>
              </w:rPr>
              <w:t>device</w:t>
            </w:r>
            <w:proofErr w:type="spellEnd"/>
          </w:p>
        </w:tc>
        <w:tc>
          <w:tcPr>
            <w:tcW w:w="850" w:type="dxa"/>
            <w:tcBorders>
              <w:top w:val="single" w:sz="4" w:space="0" w:color="auto"/>
              <w:left w:val="single" w:sz="4" w:space="0" w:color="auto"/>
              <w:right w:val="single" w:sz="4" w:space="0" w:color="auto"/>
            </w:tcBorders>
            <w:vAlign w:val="center"/>
          </w:tcPr>
          <w:p w14:paraId="1C53A0AA" w14:textId="77777777" w:rsidR="00DB54AE" w:rsidRPr="00A775DB" w:rsidRDefault="00DB54AE" w:rsidP="000C1F1F">
            <w:pPr>
              <w:spacing w:after="0" w:line="240" w:lineRule="auto"/>
              <w:jc w:val="center"/>
              <w:rPr>
                <w:rFonts w:cs="Calibri"/>
              </w:rPr>
            </w:pPr>
            <w:r>
              <w:rPr>
                <w:rFonts w:cs="Calibri"/>
              </w:rPr>
              <w:t>4000</w:t>
            </w:r>
          </w:p>
        </w:tc>
      </w:tr>
    </w:tbl>
    <w:p w14:paraId="01811966" w14:textId="77777777" w:rsidR="00DB54AE" w:rsidRDefault="00DB54AE" w:rsidP="00DB54AE">
      <w:pPr>
        <w:spacing w:after="0" w:line="240" w:lineRule="auto"/>
        <w:jc w:val="both"/>
        <w:rPr>
          <w:rFonts w:eastAsia="Times New Roman"/>
          <w:lang w:eastAsia="ar-SA"/>
        </w:rPr>
      </w:pPr>
    </w:p>
    <w:bookmarkEnd w:id="34"/>
    <w:p w14:paraId="50B80D2F" w14:textId="77777777" w:rsidR="00DB54AE" w:rsidRDefault="00DB54AE" w:rsidP="00DB54AE">
      <w:pPr>
        <w:rPr>
          <w:szCs w:val="20"/>
        </w:rPr>
      </w:pPr>
    </w:p>
    <w:bookmarkEnd w:id="33"/>
    <w:p w14:paraId="3FDEA795" w14:textId="77777777" w:rsidR="00DB54AE" w:rsidRDefault="00DB54AE" w:rsidP="00DB54AE">
      <w:pPr>
        <w:pStyle w:val="Odstavecseseznamem"/>
        <w:spacing w:after="0" w:line="240" w:lineRule="auto"/>
        <w:ind w:left="0"/>
        <w:rPr>
          <w:b/>
          <w:sz w:val="22"/>
          <w:szCs w:val="22"/>
        </w:rPr>
      </w:pPr>
    </w:p>
    <w:p w14:paraId="5BCFC676" w14:textId="77777777" w:rsidR="00DB54AE" w:rsidRPr="00A35CBF" w:rsidRDefault="00DB54AE" w:rsidP="00DB54AE">
      <w:pPr>
        <w:pStyle w:val="Odstavecseseznamem"/>
        <w:spacing w:after="0" w:line="240" w:lineRule="auto"/>
        <w:ind w:left="708"/>
        <w:rPr>
          <w:sz w:val="20"/>
          <w:szCs w:val="22"/>
        </w:rPr>
      </w:pPr>
    </w:p>
    <w:p w14:paraId="4CFD73B5" w14:textId="77777777" w:rsidR="00DB54AE" w:rsidRDefault="00DB54AE" w:rsidP="00DB54AE">
      <w:pPr>
        <w:pStyle w:val="Odstavecseseznamem"/>
        <w:spacing w:after="0" w:line="240" w:lineRule="auto"/>
        <w:ind w:left="0"/>
        <w:rPr>
          <w:b/>
          <w:sz w:val="22"/>
          <w:szCs w:val="22"/>
        </w:rPr>
      </w:pPr>
    </w:p>
    <w:p w14:paraId="324CD49A" w14:textId="77777777" w:rsidR="00DB54AE" w:rsidRDefault="00DB54AE" w:rsidP="00DB54AE">
      <w:pPr>
        <w:rPr>
          <w:highlight w:val="yellow"/>
        </w:rPr>
      </w:pPr>
    </w:p>
    <w:p w14:paraId="4884D65C" w14:textId="77777777" w:rsidR="00DB54AE" w:rsidRDefault="00DB54AE" w:rsidP="00DB54AE">
      <w:pPr>
        <w:rPr>
          <w:highlight w:val="yellow"/>
        </w:rPr>
      </w:pPr>
    </w:p>
    <w:p w14:paraId="2B206D07" w14:textId="77777777" w:rsidR="00DB54AE" w:rsidRDefault="00DB54AE" w:rsidP="00DB54AE">
      <w:pPr>
        <w:rPr>
          <w:highlight w:val="yellow"/>
        </w:rPr>
      </w:pPr>
    </w:p>
    <w:p w14:paraId="160364B6" w14:textId="77777777" w:rsidR="00DB54AE" w:rsidRPr="00203F2B" w:rsidRDefault="00DB54AE" w:rsidP="00DB54AE">
      <w:pPr>
        <w:rPr>
          <w:b/>
          <w:bCs/>
          <w:sz w:val="24"/>
          <w:szCs w:val="24"/>
        </w:rPr>
      </w:pPr>
      <w:r>
        <w:rPr>
          <w:highlight w:val="yellow"/>
        </w:rPr>
        <w:br w:type="page"/>
      </w:r>
      <w:r w:rsidRPr="00203F2B">
        <w:rPr>
          <w:b/>
          <w:bCs/>
          <w:sz w:val="24"/>
          <w:szCs w:val="24"/>
        </w:rPr>
        <w:lastRenderedPageBreak/>
        <w:t>Příloha č. 2</w:t>
      </w:r>
    </w:p>
    <w:p w14:paraId="1B3B5251" w14:textId="77777777" w:rsidR="00DB54AE"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Licenční ujednání upravující právo k užívání poskytnutého softwarového vybavení</w:t>
      </w:r>
    </w:p>
    <w:p w14:paraId="4DD1A9BE" w14:textId="77777777" w:rsidR="00DB54AE" w:rsidRDefault="00DB54AE" w:rsidP="00DB54AE">
      <w:pPr>
        <w:pStyle w:val="Nadpis1"/>
        <w:keepNext w:val="0"/>
        <w:tabs>
          <w:tab w:val="left" w:pos="0"/>
        </w:tabs>
        <w:spacing w:before="0" w:after="120" w:line="240" w:lineRule="auto"/>
        <w:jc w:val="both"/>
        <w:rPr>
          <w:rFonts w:asciiTheme="minorHAnsi" w:hAnsiTheme="minorHAnsi"/>
          <w:color w:val="auto"/>
          <w:szCs w:val="22"/>
        </w:rPr>
      </w:pPr>
    </w:p>
    <w:p w14:paraId="7F69C053" w14:textId="77777777" w:rsidR="00DB54AE" w:rsidRPr="00E914D3" w:rsidRDefault="00DB54AE" w:rsidP="00DB54A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 v Příloze č.1.</w:t>
      </w:r>
    </w:p>
    <w:p w14:paraId="17043C59" w14:textId="77777777" w:rsidR="00DB54AE" w:rsidRDefault="00DB54AE" w:rsidP="00DB54AE">
      <w:pPr>
        <w:rPr>
          <w:rFonts w:eastAsiaTheme="majorEastAsia" w:cstheme="majorBidi"/>
          <w:b/>
          <w:bCs/>
          <w:sz w:val="28"/>
          <w:lang w:eastAsia="en-US"/>
        </w:rPr>
      </w:pPr>
      <w:r>
        <w:br w:type="page"/>
      </w:r>
    </w:p>
    <w:p w14:paraId="188BD01E" w14:textId="77777777" w:rsidR="00DB54AE" w:rsidRDefault="00DB54AE" w:rsidP="00DB54AE">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Pr>
          <w:rFonts w:asciiTheme="minorHAnsi" w:hAnsiTheme="minorHAnsi"/>
          <w:color w:val="auto"/>
          <w:szCs w:val="22"/>
        </w:rPr>
        <w:t>3</w:t>
      </w:r>
    </w:p>
    <w:p w14:paraId="46BBC1B3" w14:textId="77777777" w:rsidR="00DB54AE" w:rsidRPr="00E53A96"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2C02CFB6" w14:textId="77777777" w:rsidR="00DB54AE" w:rsidRDefault="00DB54AE" w:rsidP="00DB54AE">
      <w:pPr>
        <w:rPr>
          <w:b/>
          <w:color w:val="767171" w:themeColor="background2" w:themeShade="80"/>
          <w:highlight w:val="yellow"/>
        </w:rPr>
      </w:pPr>
      <w:r>
        <w:rPr>
          <w:b/>
          <w:color w:val="767171" w:themeColor="background2" w:themeShade="80"/>
          <w:highlight w:val="yellow"/>
        </w:rPr>
        <w:t xml:space="preserve">Prodávající </w:t>
      </w:r>
      <w:r w:rsidRPr="00143FF4">
        <w:rPr>
          <w:b/>
          <w:color w:val="767171" w:themeColor="background2" w:themeShade="80"/>
          <w:highlight w:val="yellow"/>
        </w:rPr>
        <w:t xml:space="preserve">zde uvede </w:t>
      </w:r>
      <w:r>
        <w:rPr>
          <w:b/>
          <w:color w:val="767171" w:themeColor="background2" w:themeShade="80"/>
          <w:highlight w:val="yellow"/>
        </w:rPr>
        <w:t xml:space="preserve">formou tabulky podrobnou </w:t>
      </w:r>
      <w:r w:rsidRPr="00143FF4">
        <w:rPr>
          <w:b/>
          <w:color w:val="767171" w:themeColor="background2" w:themeShade="80"/>
          <w:highlight w:val="yellow"/>
        </w:rPr>
        <w:t xml:space="preserve">cenovou kalkulaci </w:t>
      </w:r>
      <w:r>
        <w:rPr>
          <w:b/>
          <w:color w:val="767171" w:themeColor="background2" w:themeShade="80"/>
          <w:highlight w:val="yellow"/>
        </w:rPr>
        <w:t>na dodávku předmětu koupě</w:t>
      </w:r>
    </w:p>
    <w:p w14:paraId="02E7513D" w14:textId="77777777" w:rsidR="00DB54AE" w:rsidRPr="00143FF4" w:rsidRDefault="00DB54AE" w:rsidP="00DB54AE">
      <w:pPr>
        <w:rPr>
          <w:b/>
          <w:color w:val="767171" w:themeColor="background2" w:themeShade="80"/>
          <w:highlight w:val="yellow"/>
        </w:rPr>
      </w:pPr>
      <w:r>
        <w:rPr>
          <w:b/>
          <w:color w:val="767171" w:themeColor="background2" w:themeShade="80"/>
          <w:highlight w:val="yellow"/>
        </w:rPr>
        <w:t>C</w:t>
      </w:r>
      <w:r w:rsidRPr="00143FF4">
        <w:rPr>
          <w:b/>
          <w:color w:val="767171" w:themeColor="background2" w:themeShade="80"/>
          <w:highlight w:val="yellow"/>
        </w:rPr>
        <w:t>ena v korunách českých bude členěna na cenu bez DPH, sazbu a výši DPH a cenu s DPH.</w:t>
      </w:r>
    </w:p>
    <w:p w14:paraId="7F2435A6" w14:textId="77777777" w:rsidR="00DB54AE" w:rsidRDefault="00DB54AE" w:rsidP="00DB54AE">
      <w:pPr>
        <w:rPr>
          <w:b/>
          <w:color w:val="767171" w:themeColor="background2" w:themeShade="80"/>
        </w:rPr>
      </w:pPr>
    </w:p>
    <w:p w14:paraId="2B2B0CC1" w14:textId="77777777" w:rsidR="00DB54AE" w:rsidRPr="00E53A96"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2D9524CD" w14:textId="77777777" w:rsidR="00DB54AE" w:rsidRPr="00A35CBF" w:rsidRDefault="00DB54AE" w:rsidP="00DB54AE">
      <w:pPr>
        <w:pStyle w:val="Odstavecseseznamem"/>
        <w:spacing w:after="0"/>
        <w:ind w:left="708"/>
        <w:rPr>
          <w:sz w:val="20"/>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3"/>
        <w:gridCol w:w="1134"/>
        <w:gridCol w:w="1417"/>
        <w:gridCol w:w="1418"/>
        <w:gridCol w:w="1559"/>
        <w:gridCol w:w="851"/>
      </w:tblGrid>
      <w:tr w:rsidR="00DB54AE" w:rsidRPr="00502FBB" w14:paraId="04880A27" w14:textId="77777777" w:rsidTr="000C1F1F">
        <w:trPr>
          <w:trHeight w:val="568"/>
          <w:tblHeader/>
        </w:trPr>
        <w:tc>
          <w:tcPr>
            <w:tcW w:w="3403" w:type="dxa"/>
            <w:tcBorders>
              <w:bottom w:val="single" w:sz="4" w:space="0" w:color="auto"/>
            </w:tcBorders>
            <w:shd w:val="clear" w:color="auto" w:fill="FFD966" w:themeFill="accent4" w:themeFillTint="99"/>
            <w:vAlign w:val="center"/>
          </w:tcPr>
          <w:p w14:paraId="4DB19A66" w14:textId="77777777" w:rsidR="00DB54AE" w:rsidRDefault="00DB54AE" w:rsidP="000C1F1F">
            <w:pPr>
              <w:spacing w:after="0" w:line="240" w:lineRule="auto"/>
              <w:jc w:val="center"/>
              <w:rPr>
                <w:rFonts w:cs="Tahoma"/>
                <w:b/>
                <w:bCs/>
              </w:rPr>
            </w:pPr>
            <w:r w:rsidRPr="00502FBB">
              <w:rPr>
                <w:rFonts w:cs="Tahoma"/>
                <w:b/>
                <w:bCs/>
              </w:rPr>
              <w:t>Položka</w:t>
            </w:r>
          </w:p>
          <w:p w14:paraId="317D114C" w14:textId="77777777" w:rsidR="00DB54AE" w:rsidRPr="00502FBB" w:rsidRDefault="00DB54AE" w:rsidP="000C1F1F">
            <w:pPr>
              <w:spacing w:after="0" w:line="240" w:lineRule="auto"/>
              <w:jc w:val="center"/>
              <w:rPr>
                <w:rFonts w:cs="Tahoma"/>
                <w:b/>
                <w:bCs/>
              </w:rPr>
            </w:pPr>
            <w:r>
              <w:rPr>
                <w:rFonts w:cs="Tahoma"/>
                <w:b/>
                <w:bCs/>
              </w:rPr>
              <w:t>(Produktové číslo)</w:t>
            </w:r>
          </w:p>
        </w:tc>
        <w:tc>
          <w:tcPr>
            <w:tcW w:w="1134" w:type="dxa"/>
            <w:tcBorders>
              <w:bottom w:val="single" w:sz="4" w:space="0" w:color="auto"/>
            </w:tcBorders>
            <w:shd w:val="clear" w:color="auto" w:fill="FFD966" w:themeFill="accent4" w:themeFillTint="99"/>
            <w:vAlign w:val="center"/>
          </w:tcPr>
          <w:p w14:paraId="260D6D13" w14:textId="77777777" w:rsidR="00DB54AE" w:rsidRDefault="00DB54AE" w:rsidP="000C1F1F">
            <w:pPr>
              <w:spacing w:after="0" w:line="240" w:lineRule="auto"/>
              <w:jc w:val="center"/>
              <w:rPr>
                <w:rFonts w:cs="Tahoma"/>
                <w:b/>
                <w:bCs/>
              </w:rPr>
            </w:pPr>
            <w:r>
              <w:rPr>
                <w:rFonts w:cs="Tahoma"/>
                <w:b/>
                <w:bCs/>
              </w:rPr>
              <w:t>Typ licencí</w:t>
            </w:r>
          </w:p>
        </w:tc>
        <w:tc>
          <w:tcPr>
            <w:tcW w:w="1417" w:type="dxa"/>
            <w:tcBorders>
              <w:bottom w:val="single" w:sz="4" w:space="0" w:color="auto"/>
            </w:tcBorders>
            <w:shd w:val="clear" w:color="auto" w:fill="FFD966" w:themeFill="accent4" w:themeFillTint="99"/>
            <w:vAlign w:val="center"/>
          </w:tcPr>
          <w:p w14:paraId="6C1E2AEC" w14:textId="77777777" w:rsidR="00DB54AE" w:rsidRDefault="00DB54AE" w:rsidP="000C1F1F">
            <w:pPr>
              <w:spacing w:after="0" w:line="240" w:lineRule="auto"/>
              <w:jc w:val="center"/>
              <w:rPr>
                <w:rFonts w:cs="Tahoma"/>
                <w:b/>
                <w:bCs/>
              </w:rPr>
            </w:pPr>
            <w:r>
              <w:rPr>
                <w:rFonts w:cs="Tahoma"/>
                <w:b/>
                <w:bCs/>
              </w:rPr>
              <w:t>Počet licencí</w:t>
            </w:r>
          </w:p>
        </w:tc>
        <w:tc>
          <w:tcPr>
            <w:tcW w:w="1418" w:type="dxa"/>
            <w:tcBorders>
              <w:bottom w:val="single" w:sz="4" w:space="0" w:color="auto"/>
            </w:tcBorders>
            <w:shd w:val="clear" w:color="auto" w:fill="FFD966" w:themeFill="accent4" w:themeFillTint="99"/>
          </w:tcPr>
          <w:p w14:paraId="5C618257" w14:textId="77777777" w:rsidR="00DB54AE" w:rsidRPr="00EB2DF5" w:rsidRDefault="00DB54AE" w:rsidP="000C1F1F">
            <w:pPr>
              <w:spacing w:after="0" w:line="240" w:lineRule="auto"/>
              <w:jc w:val="center"/>
              <w:rPr>
                <w:rFonts w:cs="Tahoma"/>
                <w:b/>
                <w:bCs/>
              </w:rPr>
            </w:pPr>
            <w:r>
              <w:rPr>
                <w:rFonts w:cs="Tahoma"/>
                <w:b/>
                <w:bCs/>
              </w:rPr>
              <w:t>Jednotková cena v Kč bez DPH</w:t>
            </w:r>
          </w:p>
        </w:tc>
        <w:tc>
          <w:tcPr>
            <w:tcW w:w="1559" w:type="dxa"/>
            <w:tcBorders>
              <w:bottom w:val="single" w:sz="4" w:space="0" w:color="auto"/>
            </w:tcBorders>
            <w:shd w:val="clear" w:color="auto" w:fill="FFD966" w:themeFill="accent4" w:themeFillTint="99"/>
          </w:tcPr>
          <w:p w14:paraId="23D21EF2" w14:textId="77777777" w:rsidR="00DB54AE" w:rsidRPr="00EB2DF5" w:rsidRDefault="00DB54AE" w:rsidP="000C1F1F">
            <w:pPr>
              <w:spacing w:after="0" w:line="240" w:lineRule="auto"/>
              <w:jc w:val="center"/>
              <w:rPr>
                <w:rFonts w:cs="Tahoma"/>
                <w:b/>
                <w:bCs/>
              </w:rPr>
            </w:pPr>
            <w:r w:rsidRPr="00EB2DF5">
              <w:rPr>
                <w:rFonts w:cs="Tahoma"/>
                <w:b/>
                <w:bCs/>
              </w:rPr>
              <w:t>Cena v Kč</w:t>
            </w:r>
          </w:p>
          <w:p w14:paraId="4EF9ED80" w14:textId="77777777" w:rsidR="00DB54AE" w:rsidRDefault="00DB54AE" w:rsidP="000C1F1F">
            <w:pPr>
              <w:spacing w:after="0" w:line="240" w:lineRule="auto"/>
              <w:jc w:val="center"/>
              <w:rPr>
                <w:rFonts w:cs="Tahoma"/>
                <w:b/>
                <w:bCs/>
              </w:rPr>
            </w:pPr>
            <w:r w:rsidRPr="00EB2DF5">
              <w:rPr>
                <w:rFonts w:cs="Tahoma"/>
                <w:b/>
                <w:bCs/>
              </w:rPr>
              <w:t>bez DPH</w:t>
            </w:r>
          </w:p>
          <w:p w14:paraId="65191B31" w14:textId="288950B2" w:rsidR="00DB54AE" w:rsidRDefault="00DB54AE" w:rsidP="000C1F1F">
            <w:pPr>
              <w:spacing w:after="0" w:line="240" w:lineRule="auto"/>
              <w:jc w:val="center"/>
              <w:rPr>
                <w:rFonts w:cs="Tahoma"/>
                <w:b/>
                <w:bCs/>
              </w:rPr>
            </w:pPr>
            <w:r>
              <w:rPr>
                <w:rFonts w:cs="Tahoma"/>
                <w:b/>
                <w:bCs/>
              </w:rPr>
              <w:t>celkem</w:t>
            </w:r>
            <w:r w:rsidR="00BC32E7">
              <w:rPr>
                <w:rFonts w:cs="Tahoma"/>
                <w:b/>
                <w:bCs/>
              </w:rPr>
              <w:t xml:space="preserve"> za počet licencí</w:t>
            </w:r>
          </w:p>
        </w:tc>
        <w:tc>
          <w:tcPr>
            <w:tcW w:w="851" w:type="dxa"/>
            <w:tcBorders>
              <w:bottom w:val="single" w:sz="4" w:space="0" w:color="auto"/>
            </w:tcBorders>
            <w:shd w:val="clear" w:color="auto" w:fill="FFD966" w:themeFill="accent4" w:themeFillTint="99"/>
          </w:tcPr>
          <w:p w14:paraId="0F3522E3" w14:textId="77777777" w:rsidR="00DB54AE" w:rsidRPr="009E3F2B" w:rsidRDefault="00DB54AE" w:rsidP="000C1F1F">
            <w:pPr>
              <w:spacing w:after="0" w:line="240" w:lineRule="auto"/>
              <w:jc w:val="center"/>
              <w:rPr>
                <w:rFonts w:cs="Tahoma"/>
                <w:b/>
                <w:bCs/>
                <w:sz w:val="20"/>
                <w:szCs w:val="20"/>
              </w:rPr>
            </w:pPr>
            <w:r w:rsidRPr="009E3F2B">
              <w:rPr>
                <w:b/>
                <w:sz w:val="20"/>
                <w:szCs w:val="20"/>
              </w:rPr>
              <w:t>Sazba DPH v %</w:t>
            </w:r>
          </w:p>
        </w:tc>
      </w:tr>
      <w:tr w:rsidR="00DB54AE" w:rsidRPr="00502FBB" w14:paraId="50659C8A" w14:textId="77777777" w:rsidTr="000C1F1F">
        <w:trPr>
          <w:trHeight w:val="397"/>
        </w:trPr>
        <w:tc>
          <w:tcPr>
            <w:tcW w:w="3403" w:type="dxa"/>
            <w:tcBorders>
              <w:top w:val="single" w:sz="4" w:space="0" w:color="auto"/>
              <w:left w:val="single" w:sz="4" w:space="0" w:color="auto"/>
              <w:right w:val="single" w:sz="4" w:space="0" w:color="auto"/>
            </w:tcBorders>
            <w:vAlign w:val="center"/>
          </w:tcPr>
          <w:p w14:paraId="71FA29AB" w14:textId="77777777" w:rsidR="00DB54AE" w:rsidRPr="00551AB2" w:rsidRDefault="00DB54AE" w:rsidP="000C1F1F">
            <w:pPr>
              <w:spacing w:after="0" w:line="240" w:lineRule="auto"/>
              <w:rPr>
                <w:rFonts w:cs="Calibri"/>
                <w:sz w:val="20"/>
                <w:szCs w:val="20"/>
              </w:rPr>
            </w:pPr>
            <w:bookmarkStart w:id="35" w:name="_Hlk97017334"/>
            <w:bookmarkStart w:id="36" w:name="_Hlk19014801"/>
            <w:r w:rsidRPr="00551AB2">
              <w:t>Licence pro provozovaný software vzdálené správy koncových zařízení pro 40 jmenných agentů (uživatelů) s právem užití na 1 rok</w:t>
            </w:r>
          </w:p>
        </w:tc>
        <w:tc>
          <w:tcPr>
            <w:tcW w:w="1134" w:type="dxa"/>
            <w:tcBorders>
              <w:top w:val="single" w:sz="4" w:space="0" w:color="auto"/>
              <w:left w:val="single" w:sz="4" w:space="0" w:color="auto"/>
              <w:right w:val="single" w:sz="4" w:space="0" w:color="auto"/>
            </w:tcBorders>
            <w:vAlign w:val="center"/>
          </w:tcPr>
          <w:p w14:paraId="251D8B78" w14:textId="77777777" w:rsidR="00DB54AE" w:rsidRPr="009179D2" w:rsidRDefault="00DB54AE" w:rsidP="000C1F1F">
            <w:pPr>
              <w:spacing w:after="0" w:line="240" w:lineRule="auto"/>
              <w:jc w:val="center"/>
              <w:rPr>
                <w:rFonts w:cs="Calibri"/>
              </w:rPr>
            </w:pPr>
            <w:r w:rsidRPr="009179D2">
              <w:rPr>
                <w:rFonts w:cs="Calibri"/>
              </w:rPr>
              <w:t>user</w:t>
            </w:r>
          </w:p>
        </w:tc>
        <w:tc>
          <w:tcPr>
            <w:tcW w:w="1417" w:type="dxa"/>
            <w:tcBorders>
              <w:top w:val="single" w:sz="4" w:space="0" w:color="auto"/>
              <w:left w:val="single" w:sz="4" w:space="0" w:color="auto"/>
              <w:right w:val="single" w:sz="4" w:space="0" w:color="auto"/>
            </w:tcBorders>
            <w:vAlign w:val="center"/>
          </w:tcPr>
          <w:p w14:paraId="797C484B" w14:textId="77777777" w:rsidR="00DB54AE" w:rsidRPr="006E5F49" w:rsidRDefault="00DB54AE" w:rsidP="000C1F1F">
            <w:pPr>
              <w:spacing w:after="0" w:line="240" w:lineRule="auto"/>
              <w:jc w:val="center"/>
              <w:rPr>
                <w:rFonts w:cs="Calibri"/>
              </w:rPr>
            </w:pPr>
            <w:r>
              <w:rPr>
                <w:rFonts w:cs="Calibri"/>
              </w:rPr>
              <w:t>40</w:t>
            </w:r>
          </w:p>
        </w:tc>
        <w:tc>
          <w:tcPr>
            <w:tcW w:w="1418" w:type="dxa"/>
            <w:tcBorders>
              <w:top w:val="single" w:sz="4" w:space="0" w:color="auto"/>
              <w:left w:val="single" w:sz="4" w:space="0" w:color="auto"/>
              <w:right w:val="single" w:sz="4" w:space="0" w:color="auto"/>
            </w:tcBorders>
            <w:shd w:val="clear" w:color="auto" w:fill="FFF2CC" w:themeFill="accent4" w:themeFillTint="33"/>
            <w:vAlign w:val="center"/>
          </w:tcPr>
          <w:p w14:paraId="2FEE4CF3" w14:textId="77777777" w:rsidR="00DB54AE" w:rsidRPr="00D82155" w:rsidRDefault="00DB54AE" w:rsidP="000C1F1F">
            <w:pPr>
              <w:spacing w:after="0" w:line="240" w:lineRule="auto"/>
              <w:jc w:val="center"/>
              <w:rPr>
                <w:rFonts w:cs="Calibri"/>
                <w:highlight w:val="green"/>
              </w:rPr>
            </w:pPr>
          </w:p>
        </w:tc>
        <w:tc>
          <w:tcPr>
            <w:tcW w:w="1559" w:type="dxa"/>
            <w:tcBorders>
              <w:top w:val="single" w:sz="4" w:space="0" w:color="auto"/>
              <w:left w:val="single" w:sz="4" w:space="0" w:color="auto"/>
              <w:right w:val="single" w:sz="4" w:space="0" w:color="auto"/>
            </w:tcBorders>
            <w:shd w:val="clear" w:color="auto" w:fill="FFF2CC" w:themeFill="accent4" w:themeFillTint="33"/>
            <w:vAlign w:val="center"/>
          </w:tcPr>
          <w:p w14:paraId="640AC8BD" w14:textId="77777777" w:rsidR="00DB54AE" w:rsidRPr="00D82155" w:rsidRDefault="00DB54AE" w:rsidP="000C1F1F">
            <w:pPr>
              <w:spacing w:after="0" w:line="240" w:lineRule="auto"/>
              <w:jc w:val="center"/>
              <w:rPr>
                <w:rFonts w:cs="Calibri"/>
                <w:highlight w:val="green"/>
              </w:rPr>
            </w:pPr>
          </w:p>
        </w:tc>
        <w:tc>
          <w:tcPr>
            <w:tcW w:w="85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CC3D8EC" w14:textId="77777777" w:rsidR="00DB54AE" w:rsidRPr="00D82155" w:rsidRDefault="00DB54AE" w:rsidP="000C1F1F">
            <w:pPr>
              <w:spacing w:after="0" w:line="240" w:lineRule="auto"/>
              <w:jc w:val="center"/>
              <w:rPr>
                <w:rFonts w:cs="Calibri"/>
                <w:sz w:val="20"/>
                <w:szCs w:val="20"/>
                <w:highlight w:val="green"/>
              </w:rPr>
            </w:pPr>
          </w:p>
        </w:tc>
      </w:tr>
      <w:tr w:rsidR="00DB54AE" w:rsidRPr="00502FBB" w14:paraId="3500FF67" w14:textId="77777777" w:rsidTr="000C1F1F">
        <w:trPr>
          <w:trHeight w:val="397"/>
        </w:trPr>
        <w:tc>
          <w:tcPr>
            <w:tcW w:w="3403" w:type="dxa"/>
            <w:tcBorders>
              <w:top w:val="single" w:sz="4" w:space="0" w:color="auto"/>
              <w:left w:val="single" w:sz="4" w:space="0" w:color="auto"/>
              <w:right w:val="single" w:sz="4" w:space="0" w:color="auto"/>
            </w:tcBorders>
            <w:vAlign w:val="center"/>
          </w:tcPr>
          <w:p w14:paraId="65334CEC" w14:textId="77777777" w:rsidR="00DB54AE" w:rsidRPr="00551AB2" w:rsidRDefault="00DB54AE" w:rsidP="000C1F1F">
            <w:pPr>
              <w:spacing w:after="0" w:line="240" w:lineRule="auto"/>
              <w:rPr>
                <w:rFonts w:cs="Calibri"/>
                <w:sz w:val="20"/>
                <w:szCs w:val="20"/>
              </w:rPr>
            </w:pPr>
            <w:r w:rsidRPr="00551AB2">
              <w:t>Licence pro provozovaný software vzdálené správy koncových zařízení pro 4000 spravovaných zařízení s právem užití na 1 rok</w:t>
            </w:r>
          </w:p>
        </w:tc>
        <w:tc>
          <w:tcPr>
            <w:tcW w:w="1134" w:type="dxa"/>
            <w:tcBorders>
              <w:top w:val="single" w:sz="4" w:space="0" w:color="auto"/>
              <w:left w:val="single" w:sz="4" w:space="0" w:color="auto"/>
              <w:right w:val="single" w:sz="4" w:space="0" w:color="auto"/>
            </w:tcBorders>
            <w:vAlign w:val="center"/>
          </w:tcPr>
          <w:p w14:paraId="7C1ADE0F" w14:textId="77777777" w:rsidR="00DB54AE" w:rsidRPr="006E5F49" w:rsidRDefault="00DB54AE" w:rsidP="000C1F1F">
            <w:pPr>
              <w:spacing w:after="0" w:line="240" w:lineRule="auto"/>
              <w:jc w:val="center"/>
              <w:rPr>
                <w:rFonts w:cs="Calibri"/>
              </w:rPr>
            </w:pPr>
            <w:proofErr w:type="spellStart"/>
            <w:r w:rsidRPr="009179D2">
              <w:rPr>
                <w:rFonts w:cs="Calibri"/>
              </w:rPr>
              <w:t>device</w:t>
            </w:r>
            <w:proofErr w:type="spellEnd"/>
          </w:p>
        </w:tc>
        <w:tc>
          <w:tcPr>
            <w:tcW w:w="1417" w:type="dxa"/>
            <w:tcBorders>
              <w:top w:val="single" w:sz="4" w:space="0" w:color="auto"/>
              <w:left w:val="single" w:sz="4" w:space="0" w:color="auto"/>
              <w:right w:val="single" w:sz="4" w:space="0" w:color="auto"/>
            </w:tcBorders>
            <w:vAlign w:val="center"/>
          </w:tcPr>
          <w:p w14:paraId="2DC5EDF8" w14:textId="77777777" w:rsidR="00DB54AE" w:rsidRPr="006E5F49" w:rsidRDefault="00DB54AE" w:rsidP="000C1F1F">
            <w:pPr>
              <w:spacing w:after="0" w:line="240" w:lineRule="auto"/>
              <w:jc w:val="center"/>
              <w:rPr>
                <w:rFonts w:cs="Calibri"/>
              </w:rPr>
            </w:pPr>
            <w:r>
              <w:rPr>
                <w:rFonts w:cs="Calibri"/>
              </w:rPr>
              <w:t>4000</w:t>
            </w:r>
          </w:p>
        </w:tc>
        <w:tc>
          <w:tcPr>
            <w:tcW w:w="1418" w:type="dxa"/>
            <w:tcBorders>
              <w:top w:val="single" w:sz="4" w:space="0" w:color="auto"/>
              <w:left w:val="single" w:sz="4" w:space="0" w:color="auto"/>
              <w:right w:val="single" w:sz="4" w:space="0" w:color="auto"/>
            </w:tcBorders>
            <w:shd w:val="clear" w:color="auto" w:fill="FFF2CC" w:themeFill="accent4" w:themeFillTint="33"/>
            <w:vAlign w:val="center"/>
          </w:tcPr>
          <w:p w14:paraId="1D471B23" w14:textId="77777777" w:rsidR="00DB54AE" w:rsidRPr="00D82155" w:rsidRDefault="00DB54AE" w:rsidP="000C1F1F">
            <w:pPr>
              <w:spacing w:after="0" w:line="240" w:lineRule="auto"/>
              <w:jc w:val="center"/>
              <w:rPr>
                <w:rFonts w:cs="Calibri"/>
                <w:highlight w:val="green"/>
              </w:rPr>
            </w:pPr>
          </w:p>
        </w:tc>
        <w:tc>
          <w:tcPr>
            <w:tcW w:w="1559" w:type="dxa"/>
            <w:tcBorders>
              <w:top w:val="single" w:sz="4" w:space="0" w:color="auto"/>
              <w:left w:val="single" w:sz="4" w:space="0" w:color="auto"/>
              <w:right w:val="single" w:sz="4" w:space="0" w:color="auto"/>
            </w:tcBorders>
            <w:shd w:val="clear" w:color="auto" w:fill="FFF2CC" w:themeFill="accent4" w:themeFillTint="33"/>
            <w:vAlign w:val="center"/>
          </w:tcPr>
          <w:p w14:paraId="4BE8D199" w14:textId="77777777" w:rsidR="00DB54AE" w:rsidRPr="00D82155" w:rsidRDefault="00DB54AE" w:rsidP="000C1F1F">
            <w:pPr>
              <w:spacing w:after="0" w:line="240" w:lineRule="auto"/>
              <w:jc w:val="center"/>
              <w:rPr>
                <w:rFonts w:cs="Calibri"/>
                <w:highlight w:val="green"/>
              </w:rPr>
            </w:pPr>
          </w:p>
        </w:tc>
        <w:tc>
          <w:tcPr>
            <w:tcW w:w="85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BDCA27" w14:textId="77777777" w:rsidR="00DB54AE" w:rsidRPr="00D82155" w:rsidRDefault="00DB54AE" w:rsidP="000C1F1F">
            <w:pPr>
              <w:spacing w:after="0" w:line="240" w:lineRule="auto"/>
              <w:jc w:val="center"/>
              <w:rPr>
                <w:rFonts w:cs="Calibri"/>
                <w:sz w:val="20"/>
                <w:szCs w:val="20"/>
                <w:highlight w:val="green"/>
              </w:rPr>
            </w:pPr>
          </w:p>
        </w:tc>
      </w:tr>
      <w:bookmarkEnd w:id="35"/>
      <w:tr w:rsidR="00BC32E7" w:rsidRPr="00502FBB" w14:paraId="67BB2EDC" w14:textId="77777777" w:rsidTr="00355D18">
        <w:trPr>
          <w:trHeight w:val="398"/>
        </w:trPr>
        <w:tc>
          <w:tcPr>
            <w:tcW w:w="7372" w:type="dxa"/>
            <w:gridSpan w:val="4"/>
            <w:tcBorders>
              <w:left w:val="single" w:sz="4" w:space="0" w:color="auto"/>
              <w:right w:val="single" w:sz="12" w:space="0" w:color="auto"/>
            </w:tcBorders>
            <w:shd w:val="clear" w:color="auto" w:fill="F4B083" w:themeFill="accent2" w:themeFillTint="99"/>
            <w:vAlign w:val="center"/>
          </w:tcPr>
          <w:p w14:paraId="0252E5F8" w14:textId="77777777" w:rsidR="00BC32E7" w:rsidRPr="00D82155" w:rsidRDefault="00BC32E7" w:rsidP="000C1F1F">
            <w:pPr>
              <w:spacing w:after="0" w:line="240" w:lineRule="auto"/>
              <w:rPr>
                <w:rFonts w:cs="Calibri"/>
                <w:b/>
                <w:highlight w:val="green"/>
              </w:rPr>
            </w:pPr>
            <w:r>
              <w:rPr>
                <w:rFonts w:cs="Calibri"/>
                <w:b/>
              </w:rPr>
              <w:t>Cena c</w:t>
            </w:r>
            <w:r w:rsidRPr="00A641B3">
              <w:rPr>
                <w:rFonts w:cs="Calibri"/>
                <w:b/>
              </w:rPr>
              <w:t>elkem</w:t>
            </w:r>
            <w:r>
              <w:rPr>
                <w:rFonts w:cs="Calibri"/>
                <w:b/>
              </w:rPr>
              <w:t xml:space="preserve"> v Kč bez DPH</w:t>
            </w:r>
          </w:p>
        </w:tc>
        <w:tc>
          <w:tcPr>
            <w:tcW w:w="1559" w:type="dxa"/>
            <w:tcBorders>
              <w:top w:val="single" w:sz="12" w:space="0" w:color="auto"/>
              <w:left w:val="single" w:sz="12" w:space="0" w:color="auto"/>
              <w:bottom w:val="single" w:sz="12" w:space="0" w:color="auto"/>
              <w:right w:val="single" w:sz="12" w:space="0" w:color="auto"/>
            </w:tcBorders>
            <w:shd w:val="clear" w:color="auto" w:fill="F4B083" w:themeFill="accent2" w:themeFillTint="99"/>
            <w:vAlign w:val="center"/>
          </w:tcPr>
          <w:p w14:paraId="414CFC83" w14:textId="77777777" w:rsidR="00BC32E7" w:rsidRPr="00FA7F60" w:rsidRDefault="00BC32E7" w:rsidP="000C1F1F">
            <w:pPr>
              <w:spacing w:after="0" w:line="240" w:lineRule="auto"/>
              <w:jc w:val="center"/>
              <w:rPr>
                <w:rFonts w:cs="Calibri"/>
                <w:b/>
                <w:bCs/>
                <w:highlight w:val="yellow"/>
              </w:rPr>
            </w:pPr>
          </w:p>
        </w:tc>
        <w:tc>
          <w:tcPr>
            <w:tcW w:w="851" w:type="dxa"/>
            <w:vMerge w:val="restart"/>
            <w:tcBorders>
              <w:top w:val="single" w:sz="4" w:space="0" w:color="auto"/>
              <w:left w:val="single" w:sz="12" w:space="0" w:color="auto"/>
              <w:right w:val="single" w:sz="4" w:space="0" w:color="auto"/>
            </w:tcBorders>
            <w:vAlign w:val="center"/>
          </w:tcPr>
          <w:p w14:paraId="418007E2" w14:textId="77777777" w:rsidR="00BC32E7" w:rsidRPr="00A641B3" w:rsidRDefault="00BC32E7" w:rsidP="000C1F1F">
            <w:pPr>
              <w:spacing w:after="0" w:line="240" w:lineRule="auto"/>
              <w:jc w:val="center"/>
              <w:rPr>
                <w:rFonts w:cs="Calibri"/>
                <w:highlight w:val="yellow"/>
              </w:rPr>
            </w:pPr>
          </w:p>
        </w:tc>
      </w:tr>
      <w:tr w:rsidR="00BC32E7" w:rsidRPr="00502FBB" w14:paraId="26637590" w14:textId="77777777" w:rsidTr="00355D18">
        <w:trPr>
          <w:trHeight w:val="398"/>
        </w:trPr>
        <w:tc>
          <w:tcPr>
            <w:tcW w:w="7372" w:type="dxa"/>
            <w:gridSpan w:val="4"/>
            <w:tcBorders>
              <w:left w:val="single" w:sz="4" w:space="0" w:color="auto"/>
              <w:right w:val="single" w:sz="12" w:space="0" w:color="auto"/>
            </w:tcBorders>
            <w:shd w:val="clear" w:color="auto" w:fill="F7CAAC" w:themeFill="accent2" w:themeFillTint="66"/>
            <w:vAlign w:val="center"/>
          </w:tcPr>
          <w:p w14:paraId="13018BE3" w14:textId="77777777" w:rsidR="00BC32E7" w:rsidRPr="00A641B3" w:rsidRDefault="00BC32E7" w:rsidP="000C1F1F">
            <w:pPr>
              <w:spacing w:after="0" w:line="240" w:lineRule="auto"/>
              <w:rPr>
                <w:rFonts w:cs="Calibri"/>
                <w:b/>
              </w:rPr>
            </w:pPr>
            <w:r>
              <w:rPr>
                <w:rFonts w:cs="Calibri"/>
                <w:b/>
              </w:rPr>
              <w:t xml:space="preserve">Výše DPH v Kč </w:t>
            </w:r>
          </w:p>
        </w:tc>
        <w:tc>
          <w:tcPr>
            <w:tcW w:w="1559" w:type="dxa"/>
            <w:tcBorders>
              <w:top w:val="single" w:sz="12" w:space="0" w:color="auto"/>
              <w:left w:val="single" w:sz="12" w:space="0" w:color="auto"/>
              <w:bottom w:val="single" w:sz="12" w:space="0" w:color="auto"/>
              <w:right w:val="single" w:sz="12" w:space="0" w:color="auto"/>
            </w:tcBorders>
            <w:shd w:val="clear" w:color="auto" w:fill="F7CAAC" w:themeFill="accent2" w:themeFillTint="66"/>
            <w:vAlign w:val="center"/>
          </w:tcPr>
          <w:p w14:paraId="3D602E66" w14:textId="77777777" w:rsidR="00BC32E7" w:rsidRPr="00FA7F60" w:rsidRDefault="00BC32E7" w:rsidP="000C1F1F">
            <w:pPr>
              <w:spacing w:after="0" w:line="240" w:lineRule="auto"/>
              <w:jc w:val="center"/>
              <w:rPr>
                <w:rFonts w:cs="Calibri"/>
                <w:b/>
                <w:bCs/>
                <w:highlight w:val="yellow"/>
              </w:rPr>
            </w:pPr>
          </w:p>
        </w:tc>
        <w:tc>
          <w:tcPr>
            <w:tcW w:w="851" w:type="dxa"/>
            <w:vMerge/>
            <w:tcBorders>
              <w:left w:val="single" w:sz="12" w:space="0" w:color="auto"/>
              <w:right w:val="single" w:sz="4" w:space="0" w:color="auto"/>
            </w:tcBorders>
            <w:vAlign w:val="center"/>
          </w:tcPr>
          <w:p w14:paraId="2DE0DBF8" w14:textId="77777777" w:rsidR="00BC32E7" w:rsidRPr="00A641B3" w:rsidRDefault="00BC32E7" w:rsidP="000C1F1F">
            <w:pPr>
              <w:spacing w:after="0" w:line="240" w:lineRule="auto"/>
              <w:jc w:val="center"/>
              <w:rPr>
                <w:rFonts w:cs="Calibri"/>
                <w:highlight w:val="yellow"/>
              </w:rPr>
            </w:pPr>
          </w:p>
        </w:tc>
      </w:tr>
      <w:tr w:rsidR="00BC32E7" w:rsidRPr="00502FBB" w14:paraId="1ED3A42D" w14:textId="77777777" w:rsidTr="00355D18">
        <w:trPr>
          <w:trHeight w:val="398"/>
        </w:trPr>
        <w:tc>
          <w:tcPr>
            <w:tcW w:w="7372" w:type="dxa"/>
            <w:gridSpan w:val="4"/>
            <w:tcBorders>
              <w:left w:val="single" w:sz="4" w:space="0" w:color="auto"/>
              <w:right w:val="single" w:sz="12" w:space="0" w:color="auto"/>
            </w:tcBorders>
            <w:shd w:val="clear" w:color="auto" w:fill="F7CAAC" w:themeFill="accent2" w:themeFillTint="66"/>
            <w:vAlign w:val="center"/>
          </w:tcPr>
          <w:p w14:paraId="50A1DF31" w14:textId="77777777" w:rsidR="00BC32E7" w:rsidRPr="00A641B3" w:rsidRDefault="00BC32E7" w:rsidP="000C1F1F">
            <w:pPr>
              <w:spacing w:after="0" w:line="240" w:lineRule="auto"/>
              <w:rPr>
                <w:rFonts w:cs="Calibri"/>
                <w:b/>
              </w:rPr>
            </w:pPr>
            <w:r>
              <w:rPr>
                <w:rFonts w:cs="Calibri"/>
                <w:b/>
              </w:rPr>
              <w:t>Cena celkem v Kč včetně DPH</w:t>
            </w:r>
          </w:p>
        </w:tc>
        <w:tc>
          <w:tcPr>
            <w:tcW w:w="1559" w:type="dxa"/>
            <w:tcBorders>
              <w:top w:val="single" w:sz="12" w:space="0" w:color="auto"/>
              <w:left w:val="single" w:sz="12" w:space="0" w:color="auto"/>
              <w:bottom w:val="single" w:sz="12" w:space="0" w:color="auto"/>
              <w:right w:val="single" w:sz="12" w:space="0" w:color="auto"/>
            </w:tcBorders>
            <w:shd w:val="clear" w:color="auto" w:fill="F7CAAC" w:themeFill="accent2" w:themeFillTint="66"/>
            <w:vAlign w:val="center"/>
          </w:tcPr>
          <w:p w14:paraId="6CFC3862" w14:textId="77777777" w:rsidR="00BC32E7" w:rsidRPr="00FA7F60" w:rsidRDefault="00BC32E7" w:rsidP="000C1F1F">
            <w:pPr>
              <w:spacing w:after="0" w:line="240" w:lineRule="auto"/>
              <w:jc w:val="center"/>
              <w:rPr>
                <w:rFonts w:cs="Calibri"/>
                <w:b/>
                <w:bCs/>
                <w:highlight w:val="yellow"/>
              </w:rPr>
            </w:pPr>
          </w:p>
        </w:tc>
        <w:tc>
          <w:tcPr>
            <w:tcW w:w="851" w:type="dxa"/>
            <w:vMerge/>
            <w:tcBorders>
              <w:left w:val="single" w:sz="12" w:space="0" w:color="auto"/>
              <w:bottom w:val="single" w:sz="4" w:space="0" w:color="auto"/>
              <w:right w:val="single" w:sz="4" w:space="0" w:color="auto"/>
            </w:tcBorders>
            <w:vAlign w:val="center"/>
          </w:tcPr>
          <w:p w14:paraId="230C02C9" w14:textId="77777777" w:rsidR="00BC32E7" w:rsidRPr="00A641B3" w:rsidRDefault="00BC32E7" w:rsidP="000C1F1F">
            <w:pPr>
              <w:spacing w:after="0" w:line="240" w:lineRule="auto"/>
              <w:jc w:val="center"/>
              <w:rPr>
                <w:rFonts w:cs="Calibri"/>
                <w:highlight w:val="yellow"/>
              </w:rPr>
            </w:pPr>
          </w:p>
        </w:tc>
      </w:tr>
      <w:bookmarkEnd w:id="36"/>
    </w:tbl>
    <w:p w14:paraId="384E0CF1" w14:textId="77777777" w:rsidR="00DB54AE" w:rsidRDefault="00DB54AE" w:rsidP="00DB54AE">
      <w:pPr>
        <w:spacing w:after="0" w:line="240" w:lineRule="auto"/>
        <w:jc w:val="both"/>
        <w:rPr>
          <w:rFonts w:eastAsia="Times New Roman"/>
          <w:lang w:eastAsia="ar-SA"/>
        </w:rPr>
      </w:pPr>
    </w:p>
    <w:p w14:paraId="2553550A" w14:textId="77777777" w:rsidR="00DB54AE" w:rsidRDefault="00DB54AE" w:rsidP="00DB54AE">
      <w:pPr>
        <w:rPr>
          <w:b/>
          <w:color w:val="767171" w:themeColor="background2" w:themeShade="80"/>
        </w:rPr>
      </w:pPr>
    </w:p>
    <w:p w14:paraId="08F23229" w14:textId="77777777" w:rsidR="00DB54AE" w:rsidRDefault="00DB54AE" w:rsidP="00DB54AE">
      <w:pPr>
        <w:rPr>
          <w:rFonts w:eastAsiaTheme="majorEastAsia" w:cstheme="majorBidi"/>
          <w:b/>
          <w:bCs/>
          <w:sz w:val="28"/>
          <w:lang w:eastAsia="en-US"/>
        </w:rPr>
      </w:pPr>
      <w:r>
        <w:br w:type="page"/>
      </w:r>
    </w:p>
    <w:p w14:paraId="4E7AF3FC" w14:textId="77777777" w:rsidR="00DB54AE" w:rsidRDefault="00DB54AE" w:rsidP="00DB54AE">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Příloha č. 4</w:t>
      </w:r>
    </w:p>
    <w:p w14:paraId="5DEEE103" w14:textId="77777777" w:rsidR="00DB54AE" w:rsidRPr="00E53A96"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Kupujícího</w:t>
      </w:r>
    </w:p>
    <w:p w14:paraId="303B2175" w14:textId="77777777" w:rsidR="00DB54AE" w:rsidRPr="007C5DB2" w:rsidRDefault="00DB54AE" w:rsidP="00DB54AE">
      <w:pPr>
        <w:rPr>
          <w:color w:val="767171" w:themeColor="background2" w:themeShade="80"/>
        </w:rPr>
      </w:pPr>
      <w:r>
        <w:rPr>
          <w:b/>
          <w:color w:val="767171" w:themeColor="background2" w:themeShade="80"/>
          <w:highlight w:val="yellow"/>
        </w:rPr>
        <w:t xml:space="preserve">Prodávající </w:t>
      </w:r>
      <w:r w:rsidRPr="00EA7623">
        <w:rPr>
          <w:b/>
          <w:color w:val="767171" w:themeColor="background2" w:themeShade="80"/>
          <w:highlight w:val="yellow"/>
        </w:rPr>
        <w:t xml:space="preserve">zde uvede své požadavky na součinnost </w:t>
      </w:r>
      <w:r>
        <w:rPr>
          <w:b/>
          <w:color w:val="767171" w:themeColor="background2" w:themeShade="80"/>
          <w:highlight w:val="yellow"/>
        </w:rPr>
        <w:t>Kupujícího</w:t>
      </w:r>
      <w:r w:rsidRPr="00EA7623">
        <w:rPr>
          <w:b/>
          <w:color w:val="767171" w:themeColor="background2" w:themeShade="80"/>
          <w:highlight w:val="yellow"/>
        </w:rPr>
        <w:t xml:space="preserve"> nutné pro řádné a včasné </w:t>
      </w:r>
      <w:r>
        <w:rPr>
          <w:b/>
          <w:color w:val="767171" w:themeColor="background2" w:themeShade="80"/>
          <w:highlight w:val="yellow"/>
        </w:rPr>
        <w:t>předání předmětu koupě.</w:t>
      </w:r>
      <w:r>
        <w:rPr>
          <w:b/>
          <w:color w:val="767171" w:themeColor="background2" w:themeShade="80"/>
        </w:rPr>
        <w:t xml:space="preserve"> </w:t>
      </w:r>
    </w:p>
    <w:p w14:paraId="677F5886" w14:textId="77777777" w:rsidR="00DB54AE" w:rsidRPr="007C5DB2" w:rsidRDefault="00DB54AE" w:rsidP="00DB54AE">
      <w:pPr>
        <w:rPr>
          <w:color w:val="767171" w:themeColor="background2" w:themeShade="80"/>
        </w:rPr>
      </w:pPr>
    </w:p>
    <w:p w14:paraId="1B73F069" w14:textId="77777777" w:rsidR="00DB54AE" w:rsidRDefault="00DB54AE" w:rsidP="00DB54AE">
      <w:pPr>
        <w:rPr>
          <w:rFonts w:eastAsiaTheme="minorEastAsia" w:cs="Arial"/>
        </w:rPr>
      </w:pPr>
      <w:r>
        <w:rPr>
          <w:rFonts w:cs="Arial"/>
        </w:rPr>
        <w:br w:type="page"/>
      </w:r>
    </w:p>
    <w:p w14:paraId="49DABCEB" w14:textId="77777777" w:rsidR="00DB54AE" w:rsidRDefault="00DB54AE" w:rsidP="00DB54A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Pr>
          <w:rFonts w:asciiTheme="minorHAnsi" w:hAnsiTheme="minorHAnsi"/>
          <w:color w:val="auto"/>
          <w:szCs w:val="22"/>
        </w:rPr>
        <w:t>5</w:t>
      </w:r>
    </w:p>
    <w:p w14:paraId="678E55DD" w14:textId="77777777" w:rsidR="00DB54AE" w:rsidRPr="008071A0" w:rsidRDefault="00DB54AE" w:rsidP="00DB54A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A80FEF6" w14:textId="77777777" w:rsidR="00DB54AE" w:rsidRPr="00F90E81" w:rsidRDefault="00DB54AE" w:rsidP="00DB54AE">
      <w:pPr>
        <w:spacing w:line="240" w:lineRule="auto"/>
        <w:rPr>
          <w:b/>
        </w:rPr>
      </w:pPr>
      <w:r w:rsidRPr="00F90E81">
        <w:rPr>
          <w:b/>
        </w:rPr>
        <w:t>Osoby odpovědné za plnění závazků</w:t>
      </w:r>
      <w:r>
        <w:rPr>
          <w:b/>
        </w:rPr>
        <w:t xml:space="preserve"> dle této smlouvy</w:t>
      </w:r>
      <w:r w:rsidRPr="00F90E81">
        <w:rPr>
          <w:b/>
        </w:rPr>
        <w:t>:</w:t>
      </w:r>
    </w:p>
    <w:p w14:paraId="21C210FD" w14:textId="77777777" w:rsidR="00DB54AE" w:rsidRPr="002C5802" w:rsidRDefault="00DB54AE" w:rsidP="00DB54AE">
      <w:pPr>
        <w:rPr>
          <w:rFonts w:cs="Arial"/>
          <w:bCs/>
        </w:rPr>
      </w:pPr>
      <w:r w:rsidRPr="002C5802">
        <w:rPr>
          <w:rFonts w:cs="Arial"/>
          <w:bCs/>
        </w:rPr>
        <w:t xml:space="preserve">Za každou stranu </w:t>
      </w:r>
      <w:r>
        <w:rPr>
          <w:rFonts w:cs="Arial"/>
          <w:bCs/>
        </w:rPr>
        <w:t>může být uvedeno více osob, pokud bude vyznačena jejich kompetence.</w:t>
      </w:r>
    </w:p>
    <w:p w14:paraId="2D1289C9" w14:textId="77777777" w:rsidR="00DB54AE" w:rsidRDefault="00DB54AE" w:rsidP="00DB54AE">
      <w:pPr>
        <w:spacing w:after="0"/>
        <w:rPr>
          <w:rFonts w:cs="Arial"/>
          <w:b/>
          <w:bCs/>
        </w:rPr>
      </w:pPr>
      <w:r>
        <w:rPr>
          <w:rFonts w:cs="Arial"/>
          <w:b/>
          <w:bCs/>
        </w:rPr>
        <w:t>Prodávající:</w:t>
      </w:r>
    </w:p>
    <w:p w14:paraId="408B09EE" w14:textId="77777777" w:rsidR="00DB54AE" w:rsidRDefault="00DB54AE" w:rsidP="00DB54AE">
      <w:pPr>
        <w:spacing w:after="0"/>
        <w:rPr>
          <w:rFonts w:cs="Arial"/>
          <w:b/>
          <w:bCs/>
        </w:rPr>
      </w:pPr>
    </w:p>
    <w:p w14:paraId="3B3CAF9F" w14:textId="77777777" w:rsidR="00DB54AE" w:rsidRPr="00F90E81" w:rsidRDefault="00DB54AE" w:rsidP="00DB54AE">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222A4B2B" w14:textId="77777777" w:rsidR="00DB54AE" w:rsidRPr="00F90E81" w:rsidRDefault="00DB54AE" w:rsidP="00DB54AE">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B927362" w14:textId="77777777" w:rsidR="00DB54AE" w:rsidRPr="00F90E81" w:rsidRDefault="00DB54AE" w:rsidP="00DB54AE">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C614A5F" w14:textId="77777777" w:rsidR="00DB54AE" w:rsidRPr="00F90E81" w:rsidRDefault="00DB54AE" w:rsidP="00DB54AE">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6EFB33" w14:textId="77777777" w:rsidR="00DB54AE" w:rsidRPr="00F90E81" w:rsidRDefault="00DB54AE" w:rsidP="00DB54AE">
      <w:pPr>
        <w:spacing w:after="0" w:line="240" w:lineRule="auto"/>
        <w:rPr>
          <w:rFonts w:cs="Arial"/>
          <w:bCs/>
          <w:highlight w:val="yellow"/>
        </w:rPr>
      </w:pPr>
      <w:r w:rsidRPr="00F90E81">
        <w:rPr>
          <w:rFonts w:cs="Arial"/>
          <w:bCs/>
          <w:highlight w:val="yellow"/>
        </w:rPr>
        <w:tab/>
      </w:r>
    </w:p>
    <w:p w14:paraId="7BA7A173" w14:textId="77777777" w:rsidR="00DB54AE" w:rsidRPr="00F90E81" w:rsidRDefault="00DB54AE" w:rsidP="00DB54AE">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68E9B562" w14:textId="77777777" w:rsidR="00DB54AE" w:rsidRPr="00F90E81" w:rsidRDefault="00DB54AE" w:rsidP="00DB54AE">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68E04D23" w14:textId="77777777" w:rsidR="00DB54AE" w:rsidRPr="00F90E81" w:rsidRDefault="00DB54AE" w:rsidP="00DB54AE">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7FFC1E10" w14:textId="77777777" w:rsidR="00DB54AE" w:rsidRPr="00ED0604" w:rsidRDefault="00DB54AE" w:rsidP="00DB54AE">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061A50AA" w14:textId="77777777" w:rsidR="00DB54AE" w:rsidRDefault="00DB54AE" w:rsidP="00DB54AE">
      <w:pPr>
        <w:spacing w:after="0"/>
        <w:rPr>
          <w:rFonts w:cs="Arial"/>
          <w:b/>
          <w:bCs/>
        </w:rPr>
      </w:pPr>
    </w:p>
    <w:p w14:paraId="3A953F2F" w14:textId="77777777" w:rsidR="00DB54AE" w:rsidRDefault="00DB54AE" w:rsidP="00DB54AE">
      <w:pPr>
        <w:spacing w:after="0"/>
        <w:rPr>
          <w:rFonts w:cs="Arial"/>
          <w:b/>
          <w:bCs/>
        </w:rPr>
      </w:pPr>
    </w:p>
    <w:p w14:paraId="0AA5B51C" w14:textId="77777777" w:rsidR="00DB54AE" w:rsidRDefault="00DB54AE" w:rsidP="00DB54AE">
      <w:pPr>
        <w:spacing w:after="0"/>
        <w:rPr>
          <w:rFonts w:cs="Arial"/>
          <w:b/>
          <w:bCs/>
        </w:rPr>
      </w:pPr>
    </w:p>
    <w:p w14:paraId="1221AE25" w14:textId="77777777" w:rsidR="00DB54AE" w:rsidRDefault="00DB54AE" w:rsidP="00DB54AE">
      <w:pPr>
        <w:spacing w:after="0"/>
        <w:rPr>
          <w:rFonts w:cs="Arial"/>
          <w:b/>
          <w:bCs/>
        </w:rPr>
      </w:pPr>
      <w:r>
        <w:rPr>
          <w:rFonts w:cs="Arial"/>
          <w:b/>
          <w:bCs/>
        </w:rPr>
        <w:t>Kupující:</w:t>
      </w:r>
    </w:p>
    <w:p w14:paraId="3122730C" w14:textId="77777777" w:rsidR="00DB54AE" w:rsidRPr="0066774E" w:rsidRDefault="00DB54AE" w:rsidP="00DB54AE">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Tomáš Janata</w:t>
      </w:r>
      <w:r w:rsidRPr="0066774E">
        <w:rPr>
          <w:rFonts w:cs="Arial"/>
          <w:b/>
          <w:color w:val="FF0000"/>
        </w:rPr>
        <w:tab/>
      </w:r>
    </w:p>
    <w:p w14:paraId="11A45047" w14:textId="77777777" w:rsidR="00DB54AE" w:rsidRPr="003574CC" w:rsidRDefault="00DB54AE" w:rsidP="00DB54AE">
      <w:pPr>
        <w:spacing w:after="0" w:line="240" w:lineRule="auto"/>
        <w:rPr>
          <w:rFonts w:cs="Arial"/>
          <w:bCs/>
        </w:rPr>
      </w:pPr>
      <w:r w:rsidRPr="003574CC">
        <w:rPr>
          <w:rFonts w:cs="Arial"/>
          <w:bCs/>
        </w:rPr>
        <w:tab/>
        <w:t>Pracovní zařazení:</w:t>
      </w:r>
      <w:r w:rsidRPr="003574CC">
        <w:rPr>
          <w:rFonts w:cs="Arial"/>
          <w:bCs/>
        </w:rPr>
        <w:tab/>
      </w:r>
      <w:r>
        <w:rPr>
          <w:rFonts w:cs="Arial"/>
          <w:bCs/>
        </w:rPr>
        <w:t>administrátor</w:t>
      </w:r>
      <w:r w:rsidRPr="00F0489A">
        <w:rPr>
          <w:rFonts w:cs="Arial"/>
          <w:bCs/>
        </w:rPr>
        <w:t xml:space="preserve"> IT infrastruktury</w:t>
      </w:r>
    </w:p>
    <w:p w14:paraId="67A8811E" w14:textId="77777777" w:rsidR="00DB54AE" w:rsidRPr="003574CC" w:rsidRDefault="00DB54AE" w:rsidP="00DB54AE">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F0489A">
        <w:rPr>
          <w:rFonts w:cs="Arial"/>
          <w:bCs/>
        </w:rPr>
        <w:t>466 011 237</w:t>
      </w:r>
    </w:p>
    <w:p w14:paraId="466E471F" w14:textId="77777777" w:rsidR="00DB54AE" w:rsidRDefault="00DB54AE" w:rsidP="00DB54AE">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9" w:history="1">
        <w:r w:rsidRPr="00863ECC">
          <w:rPr>
            <w:rStyle w:val="Hypertextovodkaz"/>
            <w:rFonts w:cs="Arial"/>
            <w:bCs/>
          </w:rPr>
          <w:t>tomas.janata@nempk.cz</w:t>
        </w:r>
      </w:hyperlink>
    </w:p>
    <w:p w14:paraId="0FAB4755" w14:textId="77777777" w:rsidR="00DB54AE" w:rsidRDefault="00DB54AE" w:rsidP="00DB54AE">
      <w:pPr>
        <w:spacing w:after="0" w:line="240" w:lineRule="auto"/>
        <w:ind w:firstLine="708"/>
        <w:rPr>
          <w:rFonts w:cs="Arial"/>
          <w:bCs/>
          <w:highlight w:val="cyan"/>
        </w:rPr>
      </w:pPr>
    </w:p>
    <w:p w14:paraId="38DC3DE7" w14:textId="77777777" w:rsidR="00DB54AE" w:rsidRPr="00EE182C" w:rsidRDefault="00DB54AE" w:rsidP="00DB54AE">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Zdeněk Darmovzal</w:t>
      </w:r>
    </w:p>
    <w:p w14:paraId="743F9F55" w14:textId="77777777" w:rsidR="00DB54AE" w:rsidRPr="003574CC" w:rsidRDefault="00DB54AE" w:rsidP="00DB54AE">
      <w:pPr>
        <w:spacing w:after="0" w:line="240" w:lineRule="auto"/>
        <w:rPr>
          <w:rFonts w:cs="Arial"/>
          <w:bCs/>
        </w:rPr>
      </w:pPr>
      <w:r w:rsidRPr="003574CC">
        <w:rPr>
          <w:rFonts w:cs="Arial"/>
          <w:bCs/>
        </w:rPr>
        <w:tab/>
        <w:t>Pracovní zařazení:</w:t>
      </w:r>
      <w:r w:rsidRPr="003574CC">
        <w:rPr>
          <w:rFonts w:cs="Arial"/>
          <w:bCs/>
        </w:rPr>
        <w:tab/>
      </w:r>
      <w:r w:rsidRPr="00F0489A">
        <w:rPr>
          <w:rFonts w:cs="Arial"/>
          <w:bCs/>
        </w:rPr>
        <w:t>Vedoucí oddělení systémové administrace</w:t>
      </w:r>
    </w:p>
    <w:p w14:paraId="47D0669B" w14:textId="77777777" w:rsidR="00DB54AE" w:rsidRPr="003574CC" w:rsidRDefault="00DB54AE" w:rsidP="00DB54AE">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F0489A">
        <w:rPr>
          <w:rFonts w:cs="Arial"/>
          <w:bCs/>
        </w:rPr>
        <w:t>466 011 282</w:t>
      </w:r>
    </w:p>
    <w:p w14:paraId="20FD2359" w14:textId="77777777" w:rsidR="00DB54AE" w:rsidRDefault="00DB54AE" w:rsidP="00DB54AE">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10" w:history="1">
        <w:r w:rsidRPr="00863ECC">
          <w:rPr>
            <w:rStyle w:val="Hypertextovodkaz"/>
            <w:rFonts w:cs="Arial"/>
            <w:bCs/>
          </w:rPr>
          <w:t>zdenek.darmovzal@nempk.cz</w:t>
        </w:r>
      </w:hyperlink>
    </w:p>
    <w:p w14:paraId="2A41DB69" w14:textId="77777777" w:rsidR="00DB54AE" w:rsidRPr="004172B4" w:rsidRDefault="00DB54AE" w:rsidP="00DB54AE">
      <w:pPr>
        <w:spacing w:after="0" w:line="240" w:lineRule="auto"/>
        <w:rPr>
          <w:rStyle w:val="Hypertextovodkaz"/>
        </w:rPr>
      </w:pPr>
    </w:p>
    <w:p w14:paraId="3B8B08F6" w14:textId="77777777" w:rsidR="00DB54AE" w:rsidRPr="00ED0604" w:rsidRDefault="00DB54AE" w:rsidP="00DB54AE">
      <w:pPr>
        <w:spacing w:after="0" w:line="240" w:lineRule="auto"/>
        <w:rPr>
          <w:rStyle w:val="Hypertextovodkaz"/>
        </w:rPr>
      </w:pPr>
    </w:p>
    <w:p w14:paraId="5FE39996" w14:textId="77777777" w:rsidR="00DB54AE" w:rsidRDefault="00DB54AE" w:rsidP="00DB54AE">
      <w:pPr>
        <w:spacing w:after="0" w:line="240" w:lineRule="auto"/>
        <w:ind w:firstLine="708"/>
        <w:rPr>
          <w:rFonts w:cs="Arial"/>
          <w:bCs/>
        </w:rPr>
      </w:pPr>
    </w:p>
    <w:p w14:paraId="3987EFA0" w14:textId="77777777" w:rsidR="00DB54AE" w:rsidRPr="002B4DF5" w:rsidRDefault="00DB54AE" w:rsidP="00DB54AE">
      <w:pPr>
        <w:spacing w:line="240" w:lineRule="auto"/>
        <w:ind w:left="360"/>
        <w:rPr>
          <w:b/>
        </w:rPr>
      </w:pPr>
    </w:p>
    <w:p w14:paraId="2F00A8B0" w14:textId="77777777" w:rsidR="00DB54AE" w:rsidRDefault="00DB54AE" w:rsidP="00DB54AE">
      <w:pPr>
        <w:rPr>
          <w:rFonts w:eastAsiaTheme="majorEastAsia" w:cstheme="majorBidi"/>
          <w:b/>
          <w:bCs/>
          <w:sz w:val="28"/>
          <w:lang w:eastAsia="en-US"/>
        </w:rPr>
      </w:pPr>
      <w:r>
        <w:br w:type="page"/>
      </w:r>
    </w:p>
    <w:p w14:paraId="6AB88677" w14:textId="645EABEA" w:rsidR="002A16FB" w:rsidRDefault="002A16FB" w:rsidP="00646CE5">
      <w:pPr>
        <w:pStyle w:val="Nadpis1"/>
        <w:keepNext w:val="0"/>
        <w:tabs>
          <w:tab w:val="left" w:pos="0"/>
        </w:tabs>
        <w:spacing w:before="240" w:after="240" w:line="240" w:lineRule="auto"/>
        <w:jc w:val="both"/>
        <w:rPr>
          <w:rFonts w:asciiTheme="minorHAnsi" w:hAnsiTheme="minorHAnsi"/>
          <w:color w:val="auto"/>
          <w:szCs w:val="22"/>
        </w:rPr>
      </w:pPr>
      <w:r w:rsidRPr="00B01F17">
        <w:rPr>
          <w:rFonts w:asciiTheme="minorHAnsi" w:hAnsiTheme="minorHAnsi"/>
          <w:color w:val="auto"/>
          <w:szCs w:val="22"/>
        </w:rPr>
        <w:lastRenderedPageBreak/>
        <w:t xml:space="preserve">Příloha č. </w:t>
      </w:r>
      <w:r w:rsidR="00DB54AE">
        <w:rPr>
          <w:rFonts w:asciiTheme="minorHAnsi" w:hAnsiTheme="minorHAnsi"/>
          <w:color w:val="auto"/>
          <w:szCs w:val="22"/>
        </w:rPr>
        <w:t>6</w:t>
      </w:r>
      <w:bookmarkEnd w:id="31"/>
    </w:p>
    <w:p w14:paraId="63A1D070" w14:textId="77777777" w:rsidR="00646CE5" w:rsidRDefault="00646CE5" w:rsidP="00646CE5">
      <w:pPr>
        <w:rPr>
          <w:highlight w:val="magenta"/>
          <w:lang w:eastAsia="en-US"/>
        </w:rPr>
      </w:pPr>
    </w:p>
    <w:p w14:paraId="75E20BB0" w14:textId="77777777" w:rsidR="00646CE5" w:rsidRPr="00B01F17" w:rsidRDefault="00646CE5" w:rsidP="00646CE5">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7BE7540C" w14:textId="77777777" w:rsidR="00646CE5" w:rsidRPr="00654EA7" w:rsidRDefault="00646CE5" w:rsidP="00646CE5">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4904CF6" w14:textId="77777777" w:rsidR="00646CE5" w:rsidRPr="00654EA7" w:rsidRDefault="00646CE5" w:rsidP="00646CE5">
      <w:pPr>
        <w:spacing w:after="120" w:line="252" w:lineRule="auto"/>
        <w:rPr>
          <w:b/>
          <w:bCs/>
          <w:lang w:eastAsia="en-US"/>
        </w:rPr>
      </w:pPr>
    </w:p>
    <w:p w14:paraId="5EE57C44" w14:textId="77777777" w:rsidR="00646CE5" w:rsidRPr="001512E5" w:rsidRDefault="00646CE5" w:rsidP="00646CE5">
      <w:pPr>
        <w:pStyle w:val="Odstavecseseznamem"/>
        <w:numPr>
          <w:ilvl w:val="0"/>
          <w:numId w:val="36"/>
        </w:numPr>
        <w:spacing w:before="0" w:after="120" w:line="252" w:lineRule="auto"/>
        <w:rPr>
          <w:b/>
          <w:bCs/>
          <w:lang w:eastAsia="en-US"/>
        </w:rPr>
      </w:pPr>
      <w:r w:rsidRPr="001512E5">
        <w:rPr>
          <w:b/>
          <w:bCs/>
          <w:lang w:eastAsia="en-US"/>
        </w:rPr>
        <w:t>Účel</w:t>
      </w:r>
    </w:p>
    <w:p w14:paraId="24DD2322" w14:textId="77777777" w:rsidR="00646CE5" w:rsidRPr="00654EA7" w:rsidRDefault="00646CE5" w:rsidP="00646CE5">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Pr>
          <w:lang w:eastAsia="en-US"/>
        </w:rPr>
        <w:t xml:space="preserve">Prodávajícího </w:t>
      </w:r>
      <w:r w:rsidRPr="00654EA7">
        <w:rPr>
          <w:lang w:eastAsia="en-US"/>
        </w:rPr>
        <w:t xml:space="preserve">a určuje vzájemný vztah odpovědnosti za zavedení a kontrolu bezpečnostních opatření mezi Objednatelem a </w:t>
      </w:r>
      <w:r>
        <w:rPr>
          <w:lang w:eastAsia="en-US"/>
        </w:rPr>
        <w:t>Prodávajícím</w:t>
      </w:r>
      <w:r w:rsidRPr="00654EA7">
        <w:rPr>
          <w:lang w:eastAsia="en-US"/>
        </w:rPr>
        <w:t xml:space="preserve">. Požadavky na </w:t>
      </w:r>
      <w:r>
        <w:rPr>
          <w:lang w:eastAsia="en-US"/>
        </w:rPr>
        <w:t>Prodávajícího</w:t>
      </w:r>
      <w:r w:rsidRPr="00654EA7">
        <w:rPr>
          <w:lang w:eastAsia="en-US"/>
        </w:rPr>
        <w:t xml:space="preserve"> jsou definovány dle platné právní úpravy, především pak dle </w:t>
      </w:r>
      <w:proofErr w:type="spellStart"/>
      <w:r w:rsidRPr="00654EA7">
        <w:rPr>
          <w:lang w:eastAsia="en-US"/>
        </w:rPr>
        <w:t>ZoKB</w:t>
      </w:r>
      <w:proofErr w:type="spellEnd"/>
      <w:r w:rsidRPr="00654EA7">
        <w:rPr>
          <w:lang w:eastAsia="en-US"/>
        </w:rPr>
        <w:t>, VKB.</w:t>
      </w:r>
    </w:p>
    <w:p w14:paraId="52998E71" w14:textId="77777777" w:rsidR="00646CE5" w:rsidRPr="00654EA7" w:rsidRDefault="00646CE5" w:rsidP="00646CE5">
      <w:pPr>
        <w:spacing w:after="120" w:line="252" w:lineRule="auto"/>
        <w:ind w:left="360"/>
        <w:jc w:val="both"/>
        <w:rPr>
          <w:lang w:eastAsia="en-US"/>
        </w:rPr>
      </w:pPr>
      <w:r w:rsidRPr="00654EA7">
        <w:rPr>
          <w:lang w:eastAsia="en-US"/>
        </w:rPr>
        <w:t xml:space="preserve">Další požadavky na Objednatele a </w:t>
      </w:r>
      <w:r>
        <w:rPr>
          <w:lang w:eastAsia="en-US"/>
        </w:rPr>
        <w:t>Prodávajícího</w:t>
      </w:r>
      <w:r w:rsidRPr="00654EA7">
        <w:rPr>
          <w:lang w:eastAsia="en-US"/>
        </w:rPr>
        <w:t xml:space="preserve"> související s ochranou osobních údajů vyplývají </w:t>
      </w:r>
    </w:p>
    <w:p w14:paraId="67FA5CA4" w14:textId="77777777" w:rsidR="00646CE5" w:rsidRPr="00654EA7" w:rsidRDefault="00646CE5" w:rsidP="00646CE5">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0AC0E662" w14:textId="77777777" w:rsidR="00646CE5" w:rsidRPr="00654EA7" w:rsidRDefault="00646CE5" w:rsidP="00646CE5">
      <w:pPr>
        <w:pStyle w:val="Odstavecseseznamem"/>
        <w:numPr>
          <w:ilvl w:val="0"/>
          <w:numId w:val="36"/>
        </w:numPr>
        <w:spacing w:before="0" w:after="120" w:line="252" w:lineRule="auto"/>
        <w:rPr>
          <w:b/>
          <w:bCs/>
          <w:lang w:eastAsia="en-US"/>
        </w:rPr>
      </w:pPr>
      <w:r>
        <w:rPr>
          <w:b/>
          <w:bCs/>
          <w:lang w:eastAsia="en-US"/>
        </w:rPr>
        <w:t>B</w:t>
      </w:r>
      <w:r w:rsidRPr="00654EA7">
        <w:rPr>
          <w:b/>
          <w:bCs/>
          <w:lang w:eastAsia="en-US"/>
        </w:rPr>
        <w:t>ezpečnost informací</w:t>
      </w:r>
    </w:p>
    <w:p w14:paraId="2552F92C" w14:textId="77777777" w:rsidR="00646CE5" w:rsidRPr="00654EA7" w:rsidRDefault="00646CE5" w:rsidP="00646CE5">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B2DCFF8" w14:textId="77777777" w:rsidR="00646CE5" w:rsidRPr="00654EA7" w:rsidRDefault="00646CE5" w:rsidP="00646CE5">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79045C5" w14:textId="77777777" w:rsidR="00646CE5" w:rsidRPr="00654EA7" w:rsidRDefault="00646CE5" w:rsidP="00646CE5">
      <w:pPr>
        <w:spacing w:after="120" w:line="252" w:lineRule="auto"/>
        <w:ind w:left="360"/>
        <w:rPr>
          <w:lang w:eastAsia="en-US"/>
        </w:rPr>
      </w:pPr>
      <w:r w:rsidRPr="00654EA7">
        <w:rPr>
          <w:lang w:eastAsia="en-US"/>
        </w:rPr>
        <w:t>Povinnost mlčenlivosti dle této přílohy Smlouvy se nevztahuje na informace:</w:t>
      </w:r>
    </w:p>
    <w:p w14:paraId="64D166F6" w14:textId="77777777" w:rsidR="00646CE5" w:rsidRPr="00654EA7" w:rsidRDefault="00646CE5" w:rsidP="00646CE5">
      <w:pPr>
        <w:numPr>
          <w:ilvl w:val="0"/>
          <w:numId w:val="28"/>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Pr>
          <w:lang w:eastAsia="en-US"/>
        </w:rPr>
        <w:t>Prodávajícího</w:t>
      </w:r>
      <w:r w:rsidRPr="00654EA7">
        <w:rPr>
          <w:lang w:eastAsia="en-US"/>
        </w:rPr>
        <w:t>;</w:t>
      </w:r>
    </w:p>
    <w:p w14:paraId="5067E7BF" w14:textId="77777777" w:rsidR="00646CE5" w:rsidRPr="00654EA7" w:rsidRDefault="00646CE5" w:rsidP="00646CE5">
      <w:pPr>
        <w:numPr>
          <w:ilvl w:val="0"/>
          <w:numId w:val="28"/>
        </w:numPr>
        <w:spacing w:after="120" w:line="252" w:lineRule="auto"/>
        <w:ind w:left="1080"/>
        <w:jc w:val="both"/>
        <w:rPr>
          <w:lang w:eastAsia="en-US"/>
        </w:rPr>
      </w:pPr>
      <w:r w:rsidRPr="00654EA7">
        <w:rPr>
          <w:lang w:eastAsia="en-US"/>
        </w:rPr>
        <w:t xml:space="preserve">které jsou </w:t>
      </w:r>
      <w:r>
        <w:rPr>
          <w:lang w:eastAsia="en-US"/>
        </w:rPr>
        <w:t>Prodávajícímu</w:t>
      </w:r>
      <w:r w:rsidRPr="00654EA7">
        <w:rPr>
          <w:lang w:eastAsia="en-US"/>
        </w:rPr>
        <w:t xml:space="preserve"> známy a které měl </w:t>
      </w:r>
      <w:r>
        <w:rPr>
          <w:lang w:eastAsia="en-US"/>
        </w:rPr>
        <w:t xml:space="preserve">Prodávající </w:t>
      </w:r>
      <w:r w:rsidRPr="00654EA7">
        <w:rPr>
          <w:lang w:eastAsia="en-US"/>
        </w:rPr>
        <w:t>prokazatelně volně k dispozici ještě před přijetím těchto informací od Objednatele;</w:t>
      </w:r>
    </w:p>
    <w:p w14:paraId="3D32784F" w14:textId="77777777" w:rsidR="00646CE5" w:rsidRPr="00654EA7" w:rsidRDefault="00646CE5" w:rsidP="00646CE5">
      <w:pPr>
        <w:numPr>
          <w:ilvl w:val="0"/>
          <w:numId w:val="28"/>
        </w:numPr>
        <w:spacing w:after="120" w:line="252" w:lineRule="auto"/>
        <w:ind w:left="1080"/>
        <w:jc w:val="both"/>
        <w:rPr>
          <w:lang w:eastAsia="en-US"/>
        </w:rPr>
      </w:pPr>
      <w:r w:rsidRPr="00654EA7">
        <w:rPr>
          <w:lang w:eastAsia="en-US"/>
        </w:rPr>
        <w:t xml:space="preserve">které budou následně </w:t>
      </w:r>
      <w:r>
        <w:rPr>
          <w:lang w:eastAsia="en-US"/>
        </w:rPr>
        <w:t>Prodávajícímu</w:t>
      </w:r>
      <w:r w:rsidRPr="00654EA7">
        <w:rPr>
          <w:lang w:eastAsia="en-US"/>
        </w:rPr>
        <w:t xml:space="preserve"> sděleny bez závazku mlčenlivosti třetí stranou, jež rovněž není ve vztahu k nim nijak vázána;</w:t>
      </w:r>
    </w:p>
    <w:p w14:paraId="543E3415" w14:textId="77777777" w:rsidR="00646CE5" w:rsidRPr="00654EA7" w:rsidRDefault="00646CE5" w:rsidP="00646CE5">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7160EB1C" w14:textId="77777777" w:rsidR="00646CE5" w:rsidRDefault="00646CE5" w:rsidP="00646CE5">
      <w:pPr>
        <w:spacing w:after="120" w:line="252" w:lineRule="auto"/>
        <w:ind w:left="360"/>
        <w:rPr>
          <w:b/>
          <w:lang w:eastAsia="en-US"/>
        </w:rPr>
      </w:pPr>
    </w:p>
    <w:p w14:paraId="2E287713" w14:textId="77777777" w:rsidR="00646CE5" w:rsidRDefault="00646CE5" w:rsidP="00646CE5">
      <w:pPr>
        <w:spacing w:after="120" w:line="252" w:lineRule="auto"/>
        <w:ind w:left="360"/>
        <w:rPr>
          <w:b/>
          <w:lang w:eastAsia="en-US"/>
        </w:rPr>
      </w:pPr>
    </w:p>
    <w:p w14:paraId="616CEEF0" w14:textId="77777777" w:rsidR="00646CE5" w:rsidRPr="00B01F17" w:rsidRDefault="00646CE5" w:rsidP="00646CE5">
      <w:pPr>
        <w:pStyle w:val="Odstavecseseznamem"/>
        <w:numPr>
          <w:ilvl w:val="0"/>
          <w:numId w:val="36"/>
        </w:numPr>
        <w:spacing w:before="0" w:after="120" w:line="252" w:lineRule="auto"/>
        <w:rPr>
          <w:b/>
          <w:bCs/>
          <w:lang w:eastAsia="en-US"/>
        </w:rPr>
      </w:pPr>
      <w:r>
        <w:rPr>
          <w:b/>
          <w:bCs/>
          <w:lang w:eastAsia="en-US"/>
        </w:rPr>
        <w:t xml:space="preserve">Prodávající </w:t>
      </w:r>
      <w:r w:rsidRPr="00B01F17">
        <w:rPr>
          <w:b/>
          <w:bCs/>
          <w:lang w:eastAsia="en-US"/>
        </w:rPr>
        <w:t>se při poskytování plnění pro Objednatele zavazuje plnit následující povinnosti:</w:t>
      </w:r>
    </w:p>
    <w:p w14:paraId="2B1761A1" w14:textId="77777777" w:rsidR="00646CE5" w:rsidRPr="00654EA7" w:rsidRDefault="00646CE5" w:rsidP="00646CE5">
      <w:pPr>
        <w:numPr>
          <w:ilvl w:val="0"/>
          <w:numId w:val="29"/>
        </w:numPr>
        <w:spacing w:after="120" w:line="252" w:lineRule="auto"/>
        <w:ind w:left="1080"/>
        <w:jc w:val="both"/>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Pr>
          <w:lang w:eastAsia="en-US"/>
        </w:rPr>
        <w:t>Prodávajícího</w:t>
      </w:r>
      <w:r w:rsidRPr="00654EA7">
        <w:rPr>
          <w:lang w:eastAsia="en-US"/>
        </w:rPr>
        <w:t>“);</w:t>
      </w:r>
    </w:p>
    <w:p w14:paraId="3B091B4E" w14:textId="77777777" w:rsidR="00646CE5" w:rsidRPr="00654EA7" w:rsidRDefault="00646CE5" w:rsidP="00646CE5">
      <w:pPr>
        <w:numPr>
          <w:ilvl w:val="0"/>
          <w:numId w:val="29"/>
        </w:numPr>
        <w:spacing w:after="120" w:line="252" w:lineRule="auto"/>
        <w:ind w:left="1080"/>
        <w:jc w:val="both"/>
        <w:rPr>
          <w:lang w:eastAsia="en-US"/>
        </w:rPr>
      </w:pPr>
      <w:r w:rsidRPr="00654EA7">
        <w:rPr>
          <w:lang w:eastAsia="en-US"/>
        </w:rPr>
        <w:t xml:space="preserve">zajistit, aby Kontaktní osoba pro bezpečnost na straně </w:t>
      </w:r>
      <w:r>
        <w:rPr>
          <w:lang w:eastAsia="en-US"/>
        </w:rPr>
        <w:t>Prodávajícího</w:t>
      </w:r>
      <w:r w:rsidRPr="00654EA7">
        <w:rPr>
          <w:lang w:eastAsia="en-US"/>
        </w:rPr>
        <w:t xml:space="preserve"> nejpozději do 30 dnů od uzavření Smlouvy potvrdila písemně Objednateli, že všechny osoby podílející se na poskytování plnění této Smlouvy za stranu </w:t>
      </w:r>
      <w:r>
        <w:rPr>
          <w:lang w:eastAsia="en-US"/>
        </w:rPr>
        <w:t>Prodávajícího</w:t>
      </w:r>
      <w:r w:rsidRPr="00654EA7">
        <w:rPr>
          <w:lang w:eastAsia="en-US"/>
        </w:rPr>
        <w:t xml:space="preserve"> a/nebo jeho poddodavatelé byli prokazatelně seznámeni s těmito Bezpečnostními požadavky;</w:t>
      </w:r>
    </w:p>
    <w:p w14:paraId="6769538E" w14:textId="723CE691" w:rsidR="00646CE5" w:rsidRPr="00654EA7" w:rsidRDefault="00646CE5" w:rsidP="00646CE5">
      <w:pPr>
        <w:numPr>
          <w:ilvl w:val="0"/>
          <w:numId w:val="29"/>
        </w:numPr>
        <w:spacing w:after="120" w:line="252" w:lineRule="auto"/>
        <w:ind w:left="1080"/>
        <w:jc w:val="both"/>
        <w:rPr>
          <w:lang w:eastAsia="en-US"/>
        </w:rPr>
      </w:pPr>
      <w:r w:rsidRPr="00654EA7">
        <w:rPr>
          <w:lang w:eastAsia="en-US"/>
        </w:rPr>
        <w:t xml:space="preserve">rozvíjet bezpečnostní povědomí svých </w:t>
      </w:r>
      <w:r w:rsidR="00F04262">
        <w:rPr>
          <w:lang w:eastAsia="en-US"/>
        </w:rPr>
        <w:t>pracovníků a poddodavatelů</w:t>
      </w:r>
      <w:r w:rsidRPr="00654EA7">
        <w:rPr>
          <w:lang w:eastAsia="en-US"/>
        </w:rPr>
        <w:t xml:space="preserve"> a příp. dalších osob, které se podílejí na plnění Smlouvy a průběžně je seznamovat s prováděnými nebo plánovanými změnami. </w:t>
      </w:r>
      <w:r w:rsidR="00E729D5">
        <w:rPr>
          <w:lang w:eastAsia="en-US"/>
        </w:rPr>
        <w:t>Pracovníci, poddodavatelé</w:t>
      </w:r>
      <w:r w:rsidRPr="00654EA7">
        <w:rPr>
          <w:lang w:eastAsia="en-US"/>
        </w:rPr>
        <w:t xml:space="preserve"> a další osoby na straně </w:t>
      </w:r>
      <w:r>
        <w:rPr>
          <w:lang w:eastAsia="en-US"/>
        </w:rPr>
        <w:t>Prodávajícího</w:t>
      </w:r>
      <w:r w:rsidRPr="00654EA7">
        <w:rPr>
          <w:lang w:eastAsia="en-US"/>
        </w:rPr>
        <w:t xml:space="preserv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4EB74EB8" w14:textId="77777777" w:rsidR="00646CE5" w:rsidRPr="00654EA7" w:rsidRDefault="00646CE5" w:rsidP="00646CE5">
      <w:pPr>
        <w:numPr>
          <w:ilvl w:val="0"/>
          <w:numId w:val="29"/>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6953C467" w14:textId="77777777" w:rsidR="00646CE5" w:rsidRPr="00654EA7" w:rsidRDefault="00646CE5" w:rsidP="00646CE5">
      <w:pPr>
        <w:numPr>
          <w:ilvl w:val="0"/>
          <w:numId w:val="29"/>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Pr>
          <w:lang w:eastAsia="en-US"/>
        </w:rPr>
        <w:t>Prodávajícího</w:t>
      </w:r>
      <w:r w:rsidRPr="00654EA7">
        <w:rPr>
          <w:lang w:eastAsia="en-US"/>
        </w:rPr>
        <w:t xml:space="preserve">, které přistupují k předmětu plnění dle této Smlouvy; </w:t>
      </w:r>
    </w:p>
    <w:p w14:paraId="4DA2A245" w14:textId="77777777" w:rsidR="00646CE5" w:rsidRPr="00654EA7" w:rsidRDefault="00646CE5" w:rsidP="00646CE5">
      <w:pPr>
        <w:numPr>
          <w:ilvl w:val="0"/>
          <w:numId w:val="29"/>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Pr>
          <w:lang w:eastAsia="en-US"/>
        </w:rPr>
        <w:t>Prodávajícího</w:t>
      </w:r>
      <w:r w:rsidRPr="00654EA7">
        <w:rPr>
          <w:lang w:eastAsia="en-US"/>
        </w:rPr>
        <w:t>. Nápravná opatření musí být schválena Objednatelem.</w:t>
      </w:r>
    </w:p>
    <w:p w14:paraId="73381EC2" w14:textId="77777777" w:rsidR="00646CE5" w:rsidRPr="00654EA7" w:rsidRDefault="00646CE5" w:rsidP="00646CE5">
      <w:pPr>
        <w:pStyle w:val="Odstavecseseznamem"/>
        <w:numPr>
          <w:ilvl w:val="0"/>
          <w:numId w:val="36"/>
        </w:numPr>
        <w:spacing w:before="0" w:after="120" w:line="252" w:lineRule="auto"/>
        <w:rPr>
          <w:b/>
          <w:bCs/>
          <w:lang w:eastAsia="en-US"/>
        </w:rPr>
      </w:pPr>
      <w:bookmarkStart w:id="37" w:name="_Toc532824900"/>
      <w:bookmarkStart w:id="38" w:name="_Hlk138405164"/>
      <w:bookmarkStart w:id="39"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7"/>
    </w:p>
    <w:p w14:paraId="4B00F5AE" w14:textId="77777777" w:rsidR="00646CE5" w:rsidRDefault="00646CE5" w:rsidP="00646CE5">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7EDE0221"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je při poskytování plnění pro Objednatele oprávněn užívat data předaná </w:t>
      </w:r>
      <w:r>
        <w:rPr>
          <w:lang w:eastAsia="en-US"/>
        </w:rPr>
        <w:t>Prodávajícímu</w:t>
      </w:r>
      <w:r w:rsidRPr="00654EA7">
        <w:rPr>
          <w:lang w:eastAsia="en-US"/>
        </w:rPr>
        <w:t xml:space="preserve"> Objednatelem za účelem plnění předmětu Smlouvy, avšak vždy pouze v rozsahu nezbytném ke splnění předmětu Smlouvy.</w:t>
      </w:r>
    </w:p>
    <w:p w14:paraId="260497BD"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se při poskytování plnění pro Objednatele zavazuje nakládat s daty (včetně osobních údajů) pouze v souladu se Smlouvou a příslušnými právními předpisy.  </w:t>
      </w:r>
    </w:p>
    <w:bookmarkEnd w:id="38"/>
    <w:p w14:paraId="193DE8EE" w14:textId="77777777" w:rsidR="00646CE5" w:rsidRPr="00654EA7" w:rsidRDefault="00646CE5" w:rsidP="00646CE5">
      <w:pPr>
        <w:pStyle w:val="Odstavecseseznamem"/>
        <w:numPr>
          <w:ilvl w:val="0"/>
          <w:numId w:val="36"/>
        </w:numPr>
        <w:spacing w:before="0" w:after="120" w:line="252" w:lineRule="auto"/>
        <w:rPr>
          <w:b/>
          <w:bCs/>
          <w:lang w:eastAsia="en-US"/>
        </w:rPr>
      </w:pPr>
      <w:r w:rsidRPr="00654EA7">
        <w:rPr>
          <w:b/>
          <w:bCs/>
          <w:lang w:eastAsia="en-US"/>
        </w:rPr>
        <w:t>Autorství</w:t>
      </w:r>
      <w:bookmarkEnd w:id="39"/>
    </w:p>
    <w:p w14:paraId="771DBFEF" w14:textId="77777777" w:rsidR="00646CE5" w:rsidRDefault="00646CE5" w:rsidP="00646CE5">
      <w:pPr>
        <w:spacing w:after="120" w:line="252" w:lineRule="auto"/>
        <w:ind w:left="360"/>
        <w:jc w:val="both"/>
        <w:rPr>
          <w:lang w:eastAsia="en-US"/>
        </w:rPr>
      </w:pPr>
      <w:r>
        <w:rPr>
          <w:lang w:eastAsia="en-US"/>
        </w:rPr>
        <w:t xml:space="preserve">Prodávající </w:t>
      </w:r>
      <w:r w:rsidRPr="00654EA7">
        <w:rPr>
          <w:lang w:eastAsia="en-US"/>
        </w:rPr>
        <w:t>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B592CFC" w14:textId="77777777" w:rsidR="00646CE5" w:rsidRPr="00654EA7" w:rsidRDefault="00646CE5" w:rsidP="00646CE5">
      <w:pPr>
        <w:pStyle w:val="Odstavecseseznamem"/>
        <w:numPr>
          <w:ilvl w:val="0"/>
          <w:numId w:val="36"/>
        </w:numPr>
        <w:spacing w:before="0" w:after="120" w:line="252" w:lineRule="auto"/>
        <w:rPr>
          <w:b/>
          <w:bCs/>
          <w:lang w:eastAsia="en-US"/>
        </w:rPr>
      </w:pPr>
      <w:bookmarkStart w:id="40" w:name="_Toc532824902"/>
      <w:r w:rsidRPr="00654EA7">
        <w:rPr>
          <w:b/>
          <w:bCs/>
          <w:lang w:eastAsia="en-US"/>
        </w:rPr>
        <w:t>Kontrola a audit souladu s požadavky bezpečnosti</w:t>
      </w:r>
      <w:bookmarkEnd w:id="40"/>
    </w:p>
    <w:p w14:paraId="371F8E72" w14:textId="77777777" w:rsidR="00646CE5" w:rsidRDefault="00646CE5" w:rsidP="00646CE5">
      <w:pPr>
        <w:spacing w:after="120" w:line="252" w:lineRule="auto"/>
        <w:ind w:left="360"/>
        <w:jc w:val="both"/>
        <w:rPr>
          <w:lang w:eastAsia="en-US"/>
        </w:rPr>
      </w:pPr>
      <w:r>
        <w:rPr>
          <w:lang w:eastAsia="en-US"/>
        </w:rPr>
        <w:lastRenderedPageBreak/>
        <w:t xml:space="preserve">Prodávající </w:t>
      </w:r>
      <w:r w:rsidRPr="00654EA7">
        <w:rPr>
          <w:lang w:eastAsia="en-US"/>
        </w:rPr>
        <w:t>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50A88F84" w14:textId="77777777" w:rsidR="00646CE5" w:rsidRPr="00654EA7" w:rsidRDefault="00646CE5" w:rsidP="00646CE5">
      <w:pPr>
        <w:pStyle w:val="Odstavecseseznamem"/>
        <w:numPr>
          <w:ilvl w:val="0"/>
          <w:numId w:val="36"/>
        </w:numPr>
        <w:spacing w:before="0" w:after="120" w:line="252" w:lineRule="auto"/>
        <w:rPr>
          <w:b/>
          <w:bCs/>
          <w:lang w:eastAsia="en-US"/>
        </w:rPr>
      </w:pPr>
      <w:bookmarkStart w:id="41" w:name="_Toc532824903"/>
      <w:r w:rsidRPr="00654EA7">
        <w:rPr>
          <w:b/>
          <w:bCs/>
          <w:lang w:eastAsia="en-US"/>
        </w:rPr>
        <w:t>Řetězení a řízení dodavatelů</w:t>
      </w:r>
      <w:bookmarkEnd w:id="41"/>
    </w:p>
    <w:p w14:paraId="6D96AE91" w14:textId="77777777" w:rsidR="00646CE5" w:rsidRPr="00B01F17" w:rsidRDefault="00646CE5" w:rsidP="00646CE5">
      <w:pPr>
        <w:spacing w:after="120" w:line="252" w:lineRule="auto"/>
        <w:ind w:left="360"/>
        <w:jc w:val="both"/>
        <w:rPr>
          <w:bCs/>
          <w:lang w:eastAsia="en-US"/>
        </w:rPr>
      </w:pPr>
      <w:r>
        <w:rPr>
          <w:bCs/>
          <w:lang w:eastAsia="en-US"/>
        </w:rPr>
        <w:t xml:space="preserve">Prodávající </w:t>
      </w:r>
      <w:r w:rsidRPr="00B01F17">
        <w:rPr>
          <w:bCs/>
          <w:lang w:eastAsia="en-US"/>
        </w:rPr>
        <w:t>se při poskytování plnění pro Objednatele zavazuje plnit následující povinnosti:</w:t>
      </w:r>
    </w:p>
    <w:p w14:paraId="48B3D4EE" w14:textId="612A0854" w:rsidR="00646CE5" w:rsidRPr="00654EA7" w:rsidRDefault="00646CE5" w:rsidP="00646CE5">
      <w:pPr>
        <w:numPr>
          <w:ilvl w:val="0"/>
          <w:numId w:val="30"/>
        </w:numPr>
        <w:spacing w:after="120" w:line="252" w:lineRule="auto"/>
        <w:ind w:left="1287"/>
        <w:jc w:val="both"/>
        <w:rPr>
          <w:lang w:eastAsia="en-US"/>
        </w:rPr>
      </w:pPr>
      <w:r>
        <w:rPr>
          <w:lang w:eastAsia="en-US"/>
        </w:rPr>
        <w:t xml:space="preserve">Prodávající </w:t>
      </w:r>
      <w:r w:rsidRPr="00654EA7">
        <w:rPr>
          <w:lang w:eastAsia="en-US"/>
        </w:rPr>
        <w:t>nezapojí do poskytování plnění dle této Smlouvy (vč. zpracování osobních údajů na základě této Smlouvy) žádného dalšího poddodavatele</w:t>
      </w:r>
      <w:r w:rsidR="007532D1">
        <w:rPr>
          <w:lang w:eastAsia="en-US"/>
        </w:rPr>
        <w:t>, než kterého uvedl v nabídce</w:t>
      </w:r>
      <w:r w:rsidRPr="00654EA7">
        <w:rPr>
          <w:lang w:eastAsia="en-US"/>
        </w:rPr>
        <w:t xml:space="preserve"> (v případě osobních údajů zpracovatele)</w:t>
      </w:r>
      <w:r w:rsidR="007532D1">
        <w:rPr>
          <w:lang w:eastAsia="en-US"/>
        </w:rPr>
        <w:t>,</w:t>
      </w:r>
      <w:r w:rsidRPr="00654EA7">
        <w:rPr>
          <w:lang w:eastAsia="en-US"/>
        </w:rPr>
        <w:t xml:space="preserve"> bez předchozího povolení Objednatele;</w:t>
      </w:r>
    </w:p>
    <w:p w14:paraId="35FC89CD" w14:textId="77777777" w:rsidR="00646CE5" w:rsidRPr="00654EA7" w:rsidRDefault="00646CE5" w:rsidP="00646CE5">
      <w:pPr>
        <w:numPr>
          <w:ilvl w:val="0"/>
          <w:numId w:val="30"/>
        </w:numPr>
        <w:spacing w:after="120" w:line="252" w:lineRule="auto"/>
        <w:ind w:left="1287"/>
        <w:jc w:val="both"/>
        <w:rPr>
          <w:lang w:eastAsia="en-US"/>
        </w:rPr>
      </w:pPr>
      <w:r>
        <w:rPr>
          <w:lang w:eastAsia="en-US"/>
        </w:rPr>
        <w:t xml:space="preserve">Prodávající </w:t>
      </w:r>
      <w:r w:rsidRPr="00654EA7">
        <w:rPr>
          <w:lang w:eastAsia="en-US"/>
        </w:rPr>
        <w:t>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343F410F" w14:textId="77777777" w:rsidR="00646CE5" w:rsidRPr="00654EA7" w:rsidRDefault="00646CE5" w:rsidP="00646CE5">
      <w:pPr>
        <w:numPr>
          <w:ilvl w:val="0"/>
          <w:numId w:val="30"/>
        </w:numPr>
        <w:spacing w:after="120" w:line="252" w:lineRule="auto"/>
        <w:ind w:left="1287"/>
        <w:jc w:val="both"/>
        <w:rPr>
          <w:lang w:eastAsia="en-US"/>
        </w:rPr>
      </w:pPr>
      <w:r w:rsidRPr="00654EA7">
        <w:rPr>
          <w:lang w:eastAsia="en-US"/>
        </w:rPr>
        <w:t xml:space="preserve">pokud </w:t>
      </w:r>
      <w:r>
        <w:rPr>
          <w:lang w:eastAsia="en-US"/>
        </w:rPr>
        <w:t xml:space="preserve">Prodávající </w:t>
      </w:r>
      <w:r w:rsidRPr="00654EA7">
        <w:rPr>
          <w:lang w:eastAsia="en-US"/>
        </w:rPr>
        <w:t xml:space="preserve">využívá při poskytování plnění poddodavatele, zavazuje se, že budou dodržovat bezpečnostní požadavky vč. požadavků na ochranu osobních údajů vyplývající </w:t>
      </w:r>
      <w:r w:rsidRPr="00654EA7">
        <w:rPr>
          <w:lang w:eastAsia="en-US"/>
        </w:rPr>
        <w:br/>
        <w:t>z této Smlouvy;</w:t>
      </w:r>
    </w:p>
    <w:p w14:paraId="79AFB024" w14:textId="77777777" w:rsidR="00646CE5" w:rsidRPr="00654EA7" w:rsidRDefault="00646CE5" w:rsidP="00646CE5">
      <w:pPr>
        <w:numPr>
          <w:ilvl w:val="0"/>
          <w:numId w:val="30"/>
        </w:numPr>
        <w:spacing w:after="120" w:line="252" w:lineRule="auto"/>
        <w:ind w:left="1287"/>
        <w:jc w:val="both"/>
        <w:rPr>
          <w:lang w:eastAsia="en-US"/>
        </w:rPr>
      </w:pPr>
      <w:r>
        <w:rPr>
          <w:lang w:eastAsia="en-US"/>
        </w:rPr>
        <w:t xml:space="preserve">Prodávající </w:t>
      </w:r>
      <w:r w:rsidRPr="00654EA7">
        <w:rPr>
          <w:lang w:eastAsia="en-US"/>
        </w:rPr>
        <w:t xml:space="preserve">odpovídá za to, že jeho poddodavatelé nebudou jednat v rozporu s bezpečnostními požadavky vyplývajícími z této Smlouvy; v případě, že dojde k nedodržení těchto požadavků ze strany poddodavatele </w:t>
      </w:r>
      <w:r>
        <w:rPr>
          <w:lang w:eastAsia="en-US"/>
        </w:rPr>
        <w:t>Prodávajícího</w:t>
      </w:r>
      <w:r w:rsidRPr="00654EA7">
        <w:rPr>
          <w:lang w:eastAsia="en-US"/>
        </w:rPr>
        <w:t xml:space="preserve">, považuje se každé takové nedodržení požadavků za porušení povinnosti </w:t>
      </w:r>
      <w:r>
        <w:rPr>
          <w:lang w:eastAsia="en-US"/>
        </w:rPr>
        <w:t>Prodávajícího</w:t>
      </w:r>
      <w:r w:rsidRPr="00654EA7">
        <w:rPr>
          <w:lang w:eastAsia="en-US"/>
        </w:rPr>
        <w:t xml:space="preserve"> dle této Smlouvy.</w:t>
      </w:r>
    </w:p>
    <w:p w14:paraId="64055128" w14:textId="77777777" w:rsidR="00646CE5" w:rsidRPr="00654EA7" w:rsidRDefault="00646CE5" w:rsidP="00646CE5">
      <w:pPr>
        <w:pStyle w:val="Odstavecseseznamem"/>
        <w:numPr>
          <w:ilvl w:val="0"/>
          <w:numId w:val="36"/>
        </w:numPr>
        <w:spacing w:before="0" w:after="120" w:line="252" w:lineRule="auto"/>
        <w:rPr>
          <w:b/>
          <w:bCs/>
          <w:lang w:eastAsia="en-US"/>
        </w:rPr>
      </w:pPr>
      <w:bookmarkStart w:id="42" w:name="_Toc532824904"/>
      <w:r w:rsidRPr="00654EA7">
        <w:rPr>
          <w:b/>
          <w:bCs/>
          <w:lang w:eastAsia="en-US"/>
        </w:rPr>
        <w:t>Řízení změn</w:t>
      </w:r>
      <w:bookmarkEnd w:id="42"/>
    </w:p>
    <w:p w14:paraId="3B0763F1"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se zavazuje poskytnout Objednateli veškerou nezbytnou součinnost ke splnění povinností Objednatele vyplývajících z ustanovení § 11 Vyhlášky o KB.</w:t>
      </w:r>
    </w:p>
    <w:p w14:paraId="2591EA6C" w14:textId="77777777" w:rsidR="00646CE5" w:rsidRPr="00654EA7" w:rsidRDefault="00646CE5" w:rsidP="00646CE5">
      <w:pPr>
        <w:pStyle w:val="Odstavecseseznamem"/>
        <w:numPr>
          <w:ilvl w:val="0"/>
          <w:numId w:val="36"/>
        </w:numPr>
        <w:spacing w:before="0" w:after="120" w:line="252" w:lineRule="auto"/>
        <w:rPr>
          <w:b/>
          <w:bCs/>
          <w:lang w:eastAsia="en-US"/>
        </w:rPr>
      </w:pPr>
      <w:bookmarkStart w:id="43" w:name="_Toc532824905"/>
      <w:r w:rsidRPr="00654EA7">
        <w:rPr>
          <w:b/>
          <w:bCs/>
          <w:lang w:eastAsia="en-US"/>
        </w:rPr>
        <w:t>Zvládání bezpečnostních incidentů</w:t>
      </w:r>
      <w:bookmarkEnd w:id="43"/>
    </w:p>
    <w:p w14:paraId="69DAEADA" w14:textId="77777777" w:rsidR="00646CE5" w:rsidRPr="00694EA3" w:rsidRDefault="00646CE5" w:rsidP="00646CE5">
      <w:pPr>
        <w:spacing w:after="120" w:line="252" w:lineRule="auto"/>
        <w:ind w:left="357"/>
        <w:jc w:val="both"/>
        <w:rPr>
          <w:bCs/>
          <w:lang w:eastAsia="en-US"/>
        </w:rPr>
      </w:pPr>
      <w:r>
        <w:rPr>
          <w:bCs/>
          <w:lang w:eastAsia="en-US"/>
        </w:rPr>
        <w:t xml:space="preserve">Prodávající </w:t>
      </w:r>
      <w:r w:rsidRPr="00694EA3">
        <w:rPr>
          <w:bCs/>
          <w:lang w:eastAsia="en-US"/>
        </w:rPr>
        <w:t>se při poskytování plnění pro Objednatele zavazuje, že:</w:t>
      </w:r>
      <w:r w:rsidRPr="00694EA3" w:rsidDel="005441F6">
        <w:rPr>
          <w:bCs/>
          <w:lang w:eastAsia="en-US"/>
        </w:rPr>
        <w:t xml:space="preserve"> </w:t>
      </w:r>
    </w:p>
    <w:p w14:paraId="0E70A130" w14:textId="77777777" w:rsidR="00646CE5" w:rsidRPr="00654EA7" w:rsidRDefault="00646CE5" w:rsidP="00646CE5">
      <w:pPr>
        <w:numPr>
          <w:ilvl w:val="0"/>
          <w:numId w:val="37"/>
        </w:numPr>
        <w:spacing w:after="120" w:line="252" w:lineRule="auto"/>
        <w:jc w:val="both"/>
        <w:rPr>
          <w:lang w:eastAsia="en-US"/>
        </w:rPr>
      </w:pPr>
      <w:bookmarkStart w:id="44" w:name="_Hlk151712438"/>
      <w:bookmarkStart w:id="4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4"/>
      <w:r>
        <w:rPr>
          <w:lang w:eastAsia="en-US"/>
        </w:rPr>
        <w:t>.</w:t>
      </w:r>
    </w:p>
    <w:p w14:paraId="11E468CF" w14:textId="77777777" w:rsidR="00646CE5" w:rsidRPr="00654EA7" w:rsidRDefault="00646CE5" w:rsidP="00646CE5">
      <w:pPr>
        <w:numPr>
          <w:ilvl w:val="0"/>
          <w:numId w:val="37"/>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29593C9" w14:textId="77777777" w:rsidR="00646CE5" w:rsidRPr="00654EA7" w:rsidRDefault="00646CE5" w:rsidP="00646CE5">
      <w:pPr>
        <w:pStyle w:val="Odstavecseseznamem"/>
        <w:numPr>
          <w:ilvl w:val="0"/>
          <w:numId w:val="36"/>
        </w:numPr>
        <w:spacing w:before="0" w:after="120" w:line="252" w:lineRule="auto"/>
        <w:rPr>
          <w:b/>
          <w:bCs/>
          <w:lang w:eastAsia="en-US"/>
        </w:rPr>
      </w:pPr>
      <w:r w:rsidRPr="00654EA7">
        <w:rPr>
          <w:b/>
          <w:bCs/>
          <w:lang w:eastAsia="en-US"/>
        </w:rPr>
        <w:t>Informační povinnost a povinnosti při výměně informací</w:t>
      </w:r>
      <w:bookmarkEnd w:id="45"/>
      <w:r w:rsidRPr="00654EA7">
        <w:rPr>
          <w:b/>
          <w:bCs/>
          <w:lang w:eastAsia="en-US"/>
        </w:rPr>
        <w:t xml:space="preserve"> </w:t>
      </w:r>
    </w:p>
    <w:p w14:paraId="3F533D8B" w14:textId="77777777" w:rsidR="00646CE5" w:rsidRPr="00694EA3" w:rsidRDefault="00646CE5" w:rsidP="00646CE5">
      <w:pPr>
        <w:spacing w:after="120" w:line="252" w:lineRule="auto"/>
        <w:ind w:left="360"/>
        <w:jc w:val="both"/>
        <w:rPr>
          <w:bCs/>
          <w:lang w:eastAsia="en-US"/>
        </w:rPr>
      </w:pPr>
      <w:r>
        <w:rPr>
          <w:bCs/>
          <w:lang w:eastAsia="en-US"/>
        </w:rPr>
        <w:t xml:space="preserve">Prodávající </w:t>
      </w:r>
      <w:r w:rsidRPr="00694EA3">
        <w:rPr>
          <w:bCs/>
          <w:lang w:eastAsia="en-US"/>
        </w:rPr>
        <w:t>se během poskytování plnění pro Objednatele zavazuje Objednatele informovat o:</w:t>
      </w:r>
    </w:p>
    <w:p w14:paraId="776CC7D3" w14:textId="77777777" w:rsidR="00646CE5" w:rsidRPr="00654EA7" w:rsidRDefault="00646CE5" w:rsidP="00646CE5">
      <w:pPr>
        <w:numPr>
          <w:ilvl w:val="0"/>
          <w:numId w:val="27"/>
        </w:numPr>
        <w:spacing w:after="120" w:line="252" w:lineRule="auto"/>
        <w:ind w:left="1080"/>
        <w:jc w:val="both"/>
        <w:rPr>
          <w:lang w:eastAsia="en-US"/>
        </w:rPr>
      </w:pPr>
      <w:r w:rsidRPr="00654EA7">
        <w:rPr>
          <w:lang w:eastAsia="en-US"/>
        </w:rPr>
        <w:t xml:space="preserve">významné změně ovládání </w:t>
      </w:r>
      <w:r>
        <w:rPr>
          <w:lang w:eastAsia="en-US"/>
        </w:rPr>
        <w:t>Prodávajícího</w:t>
      </w:r>
      <w:r w:rsidRPr="00654EA7">
        <w:rPr>
          <w:lang w:eastAsia="en-US"/>
        </w:rPr>
        <w:t xml:space="preserve"> nebo jeho poddodavatele podle zákona č. 90 /2012 Sb., o obchodních korporacích, a to nejpozději do 3 dnů od uskutečnění této změny; </w:t>
      </w:r>
    </w:p>
    <w:p w14:paraId="233AE1B1" w14:textId="77777777" w:rsidR="00646CE5" w:rsidRPr="00654EA7" w:rsidRDefault="00646CE5" w:rsidP="00646CE5">
      <w:pPr>
        <w:numPr>
          <w:ilvl w:val="0"/>
          <w:numId w:val="27"/>
        </w:numPr>
        <w:spacing w:after="120" w:line="252" w:lineRule="auto"/>
        <w:ind w:left="1080"/>
        <w:jc w:val="both"/>
        <w:rPr>
          <w:lang w:eastAsia="en-US"/>
        </w:rPr>
      </w:pPr>
      <w:r w:rsidRPr="00654EA7">
        <w:rPr>
          <w:lang w:eastAsia="en-US"/>
        </w:rPr>
        <w:t xml:space="preserve">změně vlastnictví zásadních aktiv, využívaných </w:t>
      </w:r>
      <w:r>
        <w:rPr>
          <w:lang w:eastAsia="en-US"/>
        </w:rPr>
        <w:t>Prodávajícím</w:t>
      </w:r>
      <w:r w:rsidRPr="00654EA7">
        <w:rPr>
          <w:lang w:eastAsia="en-US"/>
        </w:rPr>
        <w:t xml:space="preserve"> k plnění Smlouvy, a změně oprávnění nakládat s těmito aktivy, a to nejpozději do tří pracovních dnů po uskutečnění této změny. </w:t>
      </w:r>
    </w:p>
    <w:p w14:paraId="24F0F67B" w14:textId="77777777" w:rsidR="00646CE5" w:rsidRPr="00654EA7" w:rsidRDefault="00646CE5" w:rsidP="00646CE5">
      <w:pPr>
        <w:pStyle w:val="Odstavecseseznamem"/>
        <w:numPr>
          <w:ilvl w:val="0"/>
          <w:numId w:val="36"/>
        </w:numPr>
        <w:spacing w:before="0" w:after="120" w:line="252" w:lineRule="auto"/>
        <w:rPr>
          <w:b/>
          <w:bCs/>
          <w:lang w:eastAsia="en-US"/>
        </w:rPr>
      </w:pPr>
      <w:bookmarkStart w:id="46" w:name="_Toc532824907"/>
      <w:r w:rsidRPr="00654EA7">
        <w:rPr>
          <w:b/>
          <w:bCs/>
          <w:lang w:eastAsia="en-US"/>
        </w:rPr>
        <w:t>Povinnosti při ukončení Smlouvy</w:t>
      </w:r>
      <w:bookmarkEnd w:id="46"/>
    </w:p>
    <w:p w14:paraId="4B2C827B" w14:textId="77777777" w:rsidR="00646CE5" w:rsidRPr="00654EA7" w:rsidRDefault="00646CE5" w:rsidP="00646CE5">
      <w:pPr>
        <w:spacing w:after="120" w:line="252" w:lineRule="auto"/>
        <w:ind w:left="360"/>
        <w:jc w:val="both"/>
        <w:rPr>
          <w:lang w:eastAsia="en-US"/>
        </w:rPr>
      </w:pPr>
      <w:r w:rsidRPr="00654EA7">
        <w:rPr>
          <w:lang w:eastAsia="en-US"/>
        </w:rPr>
        <w:t xml:space="preserve">Nebude-li </w:t>
      </w:r>
      <w:r>
        <w:rPr>
          <w:lang w:eastAsia="en-US"/>
        </w:rPr>
        <w:t xml:space="preserve">Prodávající </w:t>
      </w:r>
      <w:r w:rsidRPr="00654EA7">
        <w:rPr>
          <w:lang w:eastAsia="en-US"/>
        </w:rPr>
        <w:t xml:space="preserve">s Objednatelem nadále spolupracovat a plnit své závazky v dle sjednané smlouvy, resp. dojde k ukončení smluvního vztahu, zavazuje se </w:t>
      </w:r>
      <w:r>
        <w:rPr>
          <w:lang w:eastAsia="en-US"/>
        </w:rPr>
        <w:t xml:space="preserve">Prodávající </w:t>
      </w:r>
      <w:r w:rsidRPr="00654EA7">
        <w:rPr>
          <w:lang w:eastAsia="en-US"/>
        </w:rPr>
        <w:t>i nadále k dodržování veškerých bezpečnostních požadavků vyžadovaných Objednatelem, touto Smlouvou či právními předpisy, a dále k:</w:t>
      </w:r>
    </w:p>
    <w:p w14:paraId="05969290" w14:textId="77777777" w:rsidR="00646CE5" w:rsidRPr="00654EA7" w:rsidRDefault="00646CE5" w:rsidP="00646CE5">
      <w:pPr>
        <w:numPr>
          <w:ilvl w:val="0"/>
          <w:numId w:val="38"/>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7C8144AC" w14:textId="77777777" w:rsidR="00646CE5" w:rsidRPr="00654EA7" w:rsidRDefault="00646CE5" w:rsidP="00646CE5">
      <w:pPr>
        <w:numPr>
          <w:ilvl w:val="0"/>
          <w:numId w:val="38"/>
        </w:numPr>
        <w:spacing w:after="120" w:line="252" w:lineRule="auto"/>
        <w:jc w:val="both"/>
        <w:rPr>
          <w:lang w:eastAsia="en-US"/>
        </w:rPr>
      </w:pPr>
      <w:r w:rsidRPr="00654EA7">
        <w:rPr>
          <w:lang w:eastAsia="en-US"/>
        </w:rPr>
        <w:t>vrácení důvěrné dokumentace (pokud byla předána),</w:t>
      </w:r>
    </w:p>
    <w:p w14:paraId="06347AB1" w14:textId="77777777" w:rsidR="00646CE5" w:rsidRPr="00654EA7" w:rsidRDefault="00646CE5" w:rsidP="00646CE5">
      <w:pPr>
        <w:numPr>
          <w:ilvl w:val="0"/>
          <w:numId w:val="38"/>
        </w:numPr>
        <w:spacing w:after="120" w:line="252" w:lineRule="auto"/>
        <w:jc w:val="both"/>
        <w:rPr>
          <w:lang w:eastAsia="en-US"/>
        </w:rPr>
      </w:pPr>
      <w:r w:rsidRPr="00654EA7">
        <w:rPr>
          <w:lang w:eastAsia="en-US"/>
        </w:rPr>
        <w:t xml:space="preserve">provést likvidaci a smazání dat, které vlastní </w:t>
      </w:r>
      <w:r>
        <w:rPr>
          <w:lang w:eastAsia="en-US"/>
        </w:rPr>
        <w:t xml:space="preserve">Prodávající </w:t>
      </w:r>
      <w:r w:rsidRPr="00654EA7">
        <w:rPr>
          <w:lang w:eastAsia="en-US"/>
        </w:rPr>
        <w:t>z důvodu plnění smluvních závazků, vč. předání prohlášení o smazání Objednateli</w:t>
      </w:r>
    </w:p>
    <w:p w14:paraId="265383B0" w14:textId="77777777" w:rsidR="00646CE5" w:rsidRPr="00654EA7" w:rsidRDefault="00646CE5" w:rsidP="00646CE5">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6CEFB0EE" w14:textId="77777777" w:rsidR="00646CE5" w:rsidRPr="00654EA7" w:rsidRDefault="00646CE5" w:rsidP="00646CE5">
      <w:pPr>
        <w:pStyle w:val="Odstavecseseznamem"/>
        <w:numPr>
          <w:ilvl w:val="0"/>
          <w:numId w:val="36"/>
        </w:numPr>
        <w:spacing w:before="0" w:after="120" w:line="252" w:lineRule="auto"/>
        <w:rPr>
          <w:b/>
          <w:bCs/>
          <w:lang w:eastAsia="en-US"/>
        </w:rPr>
      </w:pPr>
      <w:bookmarkStart w:id="47" w:name="_Toc532824908"/>
      <w:r w:rsidRPr="00654EA7">
        <w:rPr>
          <w:b/>
          <w:bCs/>
          <w:lang w:eastAsia="en-US"/>
        </w:rPr>
        <w:t>Specifikace podmínek pro řízení kontinuity činností a zálohování a obnovu dat</w:t>
      </w:r>
      <w:bookmarkEnd w:id="47"/>
    </w:p>
    <w:p w14:paraId="42638AEE"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se zavazuje dodržovat požadavky Objednatele na řízení kontinuity činností. </w:t>
      </w:r>
    </w:p>
    <w:p w14:paraId="7FD598A9" w14:textId="77777777" w:rsidR="00646CE5"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vypracuje návrh plánu kontinuity činností sjednaných s objednatelem k zajištění služeb poskytovaných v rámci předmětu smlouvy. </w:t>
      </w:r>
      <w:r>
        <w:rPr>
          <w:lang w:eastAsia="en-US"/>
        </w:rPr>
        <w:t xml:space="preserve">Prodávající </w:t>
      </w:r>
      <w:r w:rsidRPr="00654EA7">
        <w:rPr>
          <w:lang w:eastAsia="en-US"/>
        </w:rPr>
        <w:t>se zavazuje poskytnout součinnost při návrhu metodik pro zálohování a obnovu dat.</w:t>
      </w:r>
    </w:p>
    <w:p w14:paraId="404E812F" w14:textId="77777777" w:rsidR="00646CE5" w:rsidRPr="00654EA7" w:rsidRDefault="00646CE5" w:rsidP="00646CE5">
      <w:pPr>
        <w:pStyle w:val="Odstavecseseznamem"/>
        <w:numPr>
          <w:ilvl w:val="0"/>
          <w:numId w:val="36"/>
        </w:numPr>
        <w:spacing w:before="0" w:after="120" w:line="252" w:lineRule="auto"/>
        <w:rPr>
          <w:b/>
          <w:bCs/>
          <w:lang w:eastAsia="en-US"/>
        </w:rPr>
      </w:pPr>
      <w:bookmarkStart w:id="48" w:name="_Toc532824909"/>
      <w:r w:rsidRPr="00654EA7">
        <w:rPr>
          <w:b/>
          <w:bCs/>
          <w:lang w:eastAsia="en-US"/>
        </w:rPr>
        <w:t>Bezpečnost lidských zdrojů</w:t>
      </w:r>
      <w:bookmarkEnd w:id="48"/>
    </w:p>
    <w:p w14:paraId="1EBEB03C"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47B9E34" w14:textId="77777777" w:rsidR="00646CE5" w:rsidRPr="00654EA7" w:rsidRDefault="00646CE5" w:rsidP="00646CE5">
      <w:pPr>
        <w:pStyle w:val="Odstavecseseznamem"/>
        <w:numPr>
          <w:ilvl w:val="0"/>
          <w:numId w:val="36"/>
        </w:numPr>
        <w:spacing w:before="0" w:after="120" w:line="252" w:lineRule="auto"/>
        <w:rPr>
          <w:b/>
          <w:bCs/>
          <w:lang w:eastAsia="en-US"/>
        </w:rPr>
      </w:pPr>
      <w:bookmarkStart w:id="49" w:name="_Toc532824910"/>
      <w:r w:rsidRPr="00654EA7">
        <w:rPr>
          <w:b/>
          <w:bCs/>
          <w:lang w:eastAsia="en-US"/>
        </w:rPr>
        <w:t xml:space="preserve">Požadavky na </w:t>
      </w:r>
      <w:bookmarkStart w:id="50" w:name="_Toc414525016"/>
      <w:r w:rsidRPr="00654EA7">
        <w:rPr>
          <w:b/>
          <w:bCs/>
          <w:lang w:eastAsia="en-US"/>
        </w:rPr>
        <w:t>systémovou a provozní bezpečnostní dokumentaci</w:t>
      </w:r>
      <w:bookmarkEnd w:id="49"/>
      <w:bookmarkEnd w:id="50"/>
    </w:p>
    <w:p w14:paraId="6570F167" w14:textId="77777777" w:rsidR="00646CE5" w:rsidRPr="00654EA7" w:rsidRDefault="00646CE5" w:rsidP="00646CE5">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8E9E551" w14:textId="77777777" w:rsidR="00646CE5" w:rsidRPr="00654EA7" w:rsidRDefault="00646CE5" w:rsidP="00646CE5">
      <w:pPr>
        <w:pStyle w:val="Odstavecseseznamem"/>
        <w:numPr>
          <w:ilvl w:val="0"/>
          <w:numId w:val="36"/>
        </w:numPr>
        <w:spacing w:before="0" w:after="120" w:line="252" w:lineRule="auto"/>
        <w:rPr>
          <w:b/>
          <w:bCs/>
          <w:lang w:eastAsia="en-US"/>
        </w:rPr>
      </w:pPr>
      <w:bookmarkStart w:id="51" w:name="_Toc414525018"/>
      <w:bookmarkStart w:id="52" w:name="_Toc532824911"/>
      <w:r w:rsidRPr="00654EA7">
        <w:rPr>
          <w:b/>
          <w:bCs/>
          <w:lang w:eastAsia="en-US"/>
        </w:rPr>
        <w:t>Fyzická ochrana a bezpečnost prostředí</w:t>
      </w:r>
      <w:bookmarkEnd w:id="51"/>
      <w:bookmarkEnd w:id="52"/>
    </w:p>
    <w:p w14:paraId="000F39A8" w14:textId="77777777" w:rsidR="00646CE5" w:rsidRPr="00654EA7" w:rsidRDefault="00646CE5" w:rsidP="00646CE5">
      <w:pPr>
        <w:numPr>
          <w:ilvl w:val="0"/>
          <w:numId w:val="26"/>
        </w:numPr>
        <w:spacing w:after="120" w:line="252" w:lineRule="auto"/>
        <w:ind w:left="1068"/>
        <w:jc w:val="both"/>
        <w:rPr>
          <w:lang w:eastAsia="en-US"/>
        </w:rPr>
      </w:pPr>
      <w:r>
        <w:rPr>
          <w:lang w:eastAsia="en-US"/>
        </w:rPr>
        <w:t xml:space="preserve">Prodávající </w:t>
      </w:r>
      <w:r w:rsidRPr="00654EA7">
        <w:rPr>
          <w:lang w:eastAsia="en-US"/>
        </w:rPr>
        <w:t>se zavazuje dodržovat režimová bezpečnostní opatření využívaných prostor, zejména pak v oblasti fyzické ochrany, kde jsou umístěny komponenty technologických a komunikačních systémů, anebo datové nosiče;</w:t>
      </w:r>
    </w:p>
    <w:p w14:paraId="6323A4B7" w14:textId="77777777" w:rsidR="00646CE5" w:rsidRPr="00654EA7" w:rsidRDefault="00646CE5" w:rsidP="00646CE5">
      <w:pPr>
        <w:numPr>
          <w:ilvl w:val="0"/>
          <w:numId w:val="26"/>
        </w:numPr>
        <w:spacing w:after="120" w:line="252" w:lineRule="auto"/>
        <w:ind w:left="1068"/>
        <w:jc w:val="both"/>
        <w:rPr>
          <w:lang w:eastAsia="en-US"/>
        </w:rPr>
      </w:pPr>
      <w:r>
        <w:rPr>
          <w:lang w:eastAsia="en-US"/>
        </w:rPr>
        <w:t xml:space="preserve">Prodávající </w:t>
      </w:r>
      <w:r w:rsidRPr="00654EA7">
        <w:rPr>
          <w:lang w:eastAsia="en-US"/>
        </w:rPr>
        <w:t>se zavazuje, že v místech plnění předmětu smlouvy neponechá volně dostupná instalační, záložní nebo archivní média ani dokumentaci k předmětu plnění dle této Smlouvy.</w:t>
      </w:r>
    </w:p>
    <w:p w14:paraId="6972F3A5" w14:textId="77777777" w:rsidR="00646CE5" w:rsidRPr="00654EA7" w:rsidRDefault="00646CE5" w:rsidP="00646CE5">
      <w:pPr>
        <w:pStyle w:val="Odstavecseseznamem"/>
        <w:numPr>
          <w:ilvl w:val="0"/>
          <w:numId w:val="36"/>
        </w:numPr>
        <w:spacing w:before="0" w:after="120" w:line="252" w:lineRule="auto"/>
        <w:rPr>
          <w:b/>
          <w:bCs/>
          <w:lang w:eastAsia="en-US"/>
        </w:rPr>
      </w:pPr>
      <w:bookmarkStart w:id="53" w:name="_Toc414525019"/>
      <w:bookmarkStart w:id="54" w:name="_Toc532824912"/>
      <w:r w:rsidRPr="00654EA7">
        <w:rPr>
          <w:b/>
          <w:bCs/>
          <w:lang w:eastAsia="en-US"/>
        </w:rPr>
        <w:t>Požadavky na Řízení přístupu</w:t>
      </w:r>
      <w:bookmarkEnd w:id="53"/>
      <w:bookmarkEnd w:id="54"/>
    </w:p>
    <w:p w14:paraId="79F9EF62" w14:textId="305141BF"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bere na vědomí, že přístup k datům, informacím či zařízením souvisejícím s předmětem Smlouvy je možné povolit pouze fyzické identitě </w:t>
      </w:r>
      <w:r w:rsidR="007532D1">
        <w:rPr>
          <w:lang w:eastAsia="en-US"/>
        </w:rPr>
        <w:t>pracovníka</w:t>
      </w:r>
      <w:r w:rsidRPr="00654EA7">
        <w:rPr>
          <w:lang w:eastAsia="en-US"/>
        </w:rPr>
        <w:t xml:space="preserve"> </w:t>
      </w:r>
      <w:r>
        <w:rPr>
          <w:lang w:eastAsia="en-US"/>
        </w:rPr>
        <w:t>Prodávajícího</w:t>
      </w:r>
      <w:r w:rsidRPr="00654EA7">
        <w:rPr>
          <w:lang w:eastAsia="en-US"/>
        </w:rPr>
        <w:t xml:space="preserve"> / poddodavatele </w:t>
      </w:r>
      <w:r>
        <w:rPr>
          <w:lang w:eastAsia="en-US"/>
        </w:rPr>
        <w:t>Prodávajícího</w:t>
      </w:r>
      <w:r w:rsidRPr="00654EA7">
        <w:rPr>
          <w:lang w:eastAsia="en-US"/>
        </w:rPr>
        <w:t xml:space="preserve">, a to na základě požadavku </w:t>
      </w:r>
      <w:r>
        <w:rPr>
          <w:lang w:eastAsia="en-US"/>
        </w:rPr>
        <w:t>Prodávajícího</w:t>
      </w:r>
      <w:r w:rsidRPr="00654EA7">
        <w:rPr>
          <w:lang w:eastAsia="en-US"/>
        </w:rPr>
        <w:t xml:space="preserve"> na přístup schváleného objednatelem;</w:t>
      </w:r>
    </w:p>
    <w:p w14:paraId="046178C4" w14:textId="0096C561"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bere na vědomí, že přidělení oprávnění </w:t>
      </w:r>
      <w:r w:rsidR="007532D1">
        <w:rPr>
          <w:lang w:eastAsia="en-US"/>
        </w:rPr>
        <w:t xml:space="preserve">pracovníkovi nebo poddodavateli </w:t>
      </w:r>
      <w:r>
        <w:rPr>
          <w:lang w:eastAsia="en-US"/>
        </w:rPr>
        <w:t>Prodávajícího</w:t>
      </w:r>
      <w:r w:rsidRPr="00654EA7">
        <w:rPr>
          <w:lang w:eastAsia="en-US"/>
        </w:rPr>
        <w:t xml:space="preserv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2A62BBEA" w14:textId="041B3800"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se zavazuje, že udělený přístup nesmí být sdílen více </w:t>
      </w:r>
      <w:r w:rsidR="007532D1">
        <w:rPr>
          <w:lang w:eastAsia="en-US"/>
        </w:rPr>
        <w:t>pracovníky</w:t>
      </w:r>
      <w:r w:rsidRPr="00654EA7">
        <w:rPr>
          <w:lang w:eastAsia="en-US"/>
        </w:rPr>
        <w:t xml:space="preserve"> </w:t>
      </w:r>
      <w:r>
        <w:rPr>
          <w:lang w:eastAsia="en-US"/>
        </w:rPr>
        <w:t>Prodávajícího</w:t>
      </w:r>
      <w:r w:rsidRPr="00654EA7">
        <w:rPr>
          <w:lang w:eastAsia="en-US"/>
        </w:rPr>
        <w:t xml:space="preserve"> nebo poddodavatele </w:t>
      </w:r>
      <w:r>
        <w:rPr>
          <w:lang w:eastAsia="en-US"/>
        </w:rPr>
        <w:t>Prodávajícího</w:t>
      </w:r>
      <w:r w:rsidRPr="00654EA7">
        <w:rPr>
          <w:lang w:eastAsia="en-US"/>
        </w:rPr>
        <w:t>;</w:t>
      </w:r>
    </w:p>
    <w:p w14:paraId="28CFC924" w14:textId="77777777"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se zavazuje, že nebude instalovat a používat žádné nástroje, které nebyly odsouhlaseny Objednatelem a jejichž užívání by mohlo ohrozit kybernetickou bezpečnost. </w:t>
      </w:r>
    </w:p>
    <w:p w14:paraId="46642858" w14:textId="77777777"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se zavazuje, že nebude vyvíjet, kompilovat a šířit v jakékoliv části technologického nebo komunikačního systému programový kód, který má za cíl nelegální ovládnutí, narušení, </w:t>
      </w:r>
      <w:r w:rsidRPr="00654EA7">
        <w:rPr>
          <w:lang w:eastAsia="en-US"/>
        </w:rPr>
        <w:lastRenderedPageBreak/>
        <w:t>nebo diskreditaci technologického nebo komunikačního systému nebo nelegální získání dat a informací;</w:t>
      </w:r>
    </w:p>
    <w:p w14:paraId="0B6C8FA3" w14:textId="77777777"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 xml:space="preserve">Prodávající </w:t>
      </w:r>
      <w:r w:rsidRPr="00654EA7">
        <w:rPr>
          <w:lang w:eastAsia="en-US"/>
        </w:rPr>
        <w:t>bere na vědomí, že v případě neúspěšných pokusů o autentizaci může být příslušný účet zablokován a řešen jako bezpečnostní incident a mohou být uplatněny příslušné postupy zvládání bezpečnostního incidentu;</w:t>
      </w:r>
    </w:p>
    <w:p w14:paraId="5ECF279F" w14:textId="77777777" w:rsidR="00646CE5" w:rsidRPr="00654EA7" w:rsidRDefault="00646CE5" w:rsidP="00646CE5">
      <w:pPr>
        <w:numPr>
          <w:ilvl w:val="0"/>
          <w:numId w:val="32"/>
        </w:numPr>
        <w:spacing w:after="120" w:line="252" w:lineRule="auto"/>
        <w:ind w:left="1068"/>
        <w:jc w:val="both"/>
        <w:rPr>
          <w:lang w:eastAsia="en-US"/>
        </w:rPr>
      </w:pPr>
      <w:r>
        <w:rPr>
          <w:lang w:eastAsia="en-US"/>
        </w:rPr>
        <w:t xml:space="preserve">Prodávající </w:t>
      </w:r>
      <w:r w:rsidRPr="00654EA7">
        <w:rPr>
          <w:lang w:eastAsia="en-US"/>
        </w:rPr>
        <w:t xml:space="preserve">bere na vědomí, že postup zvládání bezpečnostního incidentu či skutečnost vzniklá v důsledku porušení Bezpečnostních požadavků nebude posuzována jako okolnost vylučující odpovědnost </w:t>
      </w:r>
      <w:r>
        <w:rPr>
          <w:lang w:eastAsia="en-US"/>
        </w:rPr>
        <w:t>Prodávajícího</w:t>
      </w:r>
      <w:r w:rsidRPr="00654EA7">
        <w:rPr>
          <w:lang w:eastAsia="en-US"/>
        </w:rPr>
        <w:t xml:space="preserve"> za prodlení s řádným a včasným plněním předmětu Smlouvy a nebude důvodem k jakékoli náhradě případné újmy </w:t>
      </w:r>
      <w:r>
        <w:rPr>
          <w:lang w:eastAsia="en-US"/>
        </w:rPr>
        <w:t>Prodávajícímu</w:t>
      </w:r>
      <w:r w:rsidRPr="00654EA7">
        <w:rPr>
          <w:lang w:eastAsia="en-US"/>
        </w:rPr>
        <w:t xml:space="preserve"> či jiné osobě ze strany Objednatele. Ostatní ustanovení ohledně odpovědnosti </w:t>
      </w:r>
      <w:r>
        <w:rPr>
          <w:lang w:eastAsia="en-US"/>
        </w:rPr>
        <w:t>Prodávajícího</w:t>
      </w:r>
      <w:r w:rsidRPr="00654EA7">
        <w:rPr>
          <w:lang w:eastAsia="en-US"/>
        </w:rPr>
        <w:t xml:space="preserve"> za prodlení obsažená v Smlouvě nejsou tímto ustanovením dotčena. </w:t>
      </w:r>
    </w:p>
    <w:p w14:paraId="4C2FDC92" w14:textId="77777777" w:rsidR="00646CE5" w:rsidRPr="00654EA7" w:rsidRDefault="00646CE5" w:rsidP="00646CE5">
      <w:pPr>
        <w:pStyle w:val="Odstavecseseznamem"/>
        <w:numPr>
          <w:ilvl w:val="0"/>
          <w:numId w:val="36"/>
        </w:numPr>
        <w:spacing w:before="0" w:after="120" w:line="252" w:lineRule="auto"/>
        <w:rPr>
          <w:b/>
          <w:bCs/>
          <w:lang w:eastAsia="en-US"/>
        </w:rPr>
      </w:pPr>
      <w:bookmarkStart w:id="55" w:name="_Toc414525020"/>
      <w:bookmarkStart w:id="56" w:name="_Toc532824913"/>
      <w:r w:rsidRPr="00654EA7">
        <w:rPr>
          <w:b/>
          <w:bCs/>
          <w:lang w:eastAsia="en-US"/>
        </w:rPr>
        <w:t>Monitorování</w:t>
      </w:r>
      <w:bookmarkStart w:id="57" w:name="_Toc414525022"/>
      <w:bookmarkEnd w:id="55"/>
      <w:r w:rsidRPr="00654EA7">
        <w:rPr>
          <w:b/>
          <w:bCs/>
          <w:lang w:eastAsia="en-US"/>
        </w:rPr>
        <w:t xml:space="preserve"> činností</w:t>
      </w:r>
      <w:bookmarkEnd w:id="56"/>
    </w:p>
    <w:bookmarkEnd w:id="57"/>
    <w:p w14:paraId="632DB6C3"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 xml:space="preserve">bere na vědomí, že veškerá aktivita </w:t>
      </w:r>
      <w:r>
        <w:rPr>
          <w:lang w:eastAsia="en-US"/>
        </w:rPr>
        <w:t>Prodávajícího</w:t>
      </w:r>
      <w:r w:rsidRPr="00654EA7">
        <w:rPr>
          <w:lang w:eastAsia="en-US"/>
        </w:rPr>
        <w:t xml:space="preserve"> a jeho plnění realizované v rámci plnění předmětu Smlouvy nebo s ním úzce související budou Objednatelem průběžně a pravidelně monitorovány a vyhodnocovány s ohledem na obsah Smlouvy a interních dokumentů Objednatele.</w:t>
      </w:r>
    </w:p>
    <w:p w14:paraId="6BC93BFE" w14:textId="77777777" w:rsidR="00646CE5" w:rsidRPr="00654EA7" w:rsidRDefault="00646CE5" w:rsidP="00646CE5">
      <w:pPr>
        <w:pStyle w:val="Odstavecseseznamem"/>
        <w:numPr>
          <w:ilvl w:val="0"/>
          <w:numId w:val="36"/>
        </w:numPr>
        <w:spacing w:before="0" w:after="120" w:line="252" w:lineRule="auto"/>
        <w:rPr>
          <w:b/>
          <w:bCs/>
          <w:lang w:eastAsia="en-US"/>
        </w:rPr>
      </w:pPr>
      <w:bookmarkStart w:id="58" w:name="_Toc532824914"/>
      <w:bookmarkStart w:id="59" w:name="_Toc414525023"/>
      <w:r w:rsidRPr="00654EA7">
        <w:rPr>
          <w:b/>
          <w:bCs/>
          <w:lang w:eastAsia="en-US"/>
        </w:rPr>
        <w:t>Předání a převzetí plnění</w:t>
      </w:r>
      <w:bookmarkEnd w:id="58"/>
    </w:p>
    <w:bookmarkEnd w:id="59"/>
    <w:p w14:paraId="220F615B"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se zavazuje dodržovat bezpečnostní požadavky i při předání a převzetí plnění dle této Smlouvy.</w:t>
      </w:r>
    </w:p>
    <w:p w14:paraId="4316B10E" w14:textId="77777777" w:rsidR="00646CE5" w:rsidRPr="00654EA7" w:rsidRDefault="00646CE5" w:rsidP="00646CE5">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58934D7C" w14:textId="77777777" w:rsidR="00646CE5" w:rsidRPr="00654EA7" w:rsidRDefault="00646CE5" w:rsidP="00646CE5">
      <w:pPr>
        <w:pStyle w:val="Odstavecseseznamem"/>
        <w:numPr>
          <w:ilvl w:val="0"/>
          <w:numId w:val="36"/>
        </w:numPr>
        <w:spacing w:before="0" w:after="120" w:line="252" w:lineRule="auto"/>
        <w:rPr>
          <w:b/>
          <w:bCs/>
          <w:lang w:eastAsia="en-US"/>
        </w:rPr>
      </w:pPr>
      <w:bookmarkStart w:id="60" w:name="_Toc532824915"/>
      <w:r w:rsidRPr="00654EA7">
        <w:rPr>
          <w:b/>
          <w:bCs/>
          <w:lang w:eastAsia="en-US"/>
        </w:rPr>
        <w:t>Likvidace dat</w:t>
      </w:r>
      <w:bookmarkEnd w:id="60"/>
    </w:p>
    <w:p w14:paraId="2610815D" w14:textId="77777777" w:rsidR="00646CE5" w:rsidRPr="00654EA7" w:rsidRDefault="00646CE5" w:rsidP="00646CE5">
      <w:pPr>
        <w:spacing w:after="120" w:line="252" w:lineRule="auto"/>
        <w:ind w:left="360"/>
        <w:jc w:val="both"/>
        <w:rPr>
          <w:lang w:eastAsia="en-US"/>
        </w:rPr>
      </w:pPr>
      <w:r>
        <w:rPr>
          <w:lang w:eastAsia="en-US"/>
        </w:rPr>
        <w:t xml:space="preserve">Prodávající </w:t>
      </w:r>
      <w:r w:rsidRPr="00654EA7">
        <w:rPr>
          <w:lang w:eastAsia="en-US"/>
        </w:rPr>
        <w:t>se zavazuje plnit požadavky Objednatele v oblasti likvidace dat (ať už dat na papírových médiích, dat zpracovávaných elektronicky nebo prostřednictvím jakýchkoli dalších nosičů dat).</w:t>
      </w:r>
    </w:p>
    <w:p w14:paraId="6A8D3B2C" w14:textId="77777777" w:rsidR="00646CE5" w:rsidRPr="00646CE5" w:rsidRDefault="00646CE5" w:rsidP="00646CE5">
      <w:pPr>
        <w:rPr>
          <w:highlight w:val="magenta"/>
          <w:lang w:eastAsia="en-US"/>
        </w:rPr>
      </w:pPr>
    </w:p>
    <w:p w14:paraId="440B6A42" w14:textId="77777777" w:rsidR="00F90E81" w:rsidRDefault="00F90E81">
      <w:pPr>
        <w:rPr>
          <w:rFonts w:eastAsiaTheme="majorEastAsia" w:cstheme="majorBidi"/>
          <w:b/>
          <w:bCs/>
          <w:sz w:val="28"/>
          <w:lang w:eastAsia="en-US"/>
        </w:rPr>
      </w:pPr>
      <w:r>
        <w:br w:type="page"/>
      </w:r>
    </w:p>
    <w:p w14:paraId="04F83674" w14:textId="2FC9E348"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911CA">
        <w:rPr>
          <w:rFonts w:asciiTheme="minorHAnsi" w:hAnsiTheme="minorHAnsi"/>
          <w:color w:val="auto"/>
          <w:szCs w:val="22"/>
        </w:rPr>
        <w:t>7</w:t>
      </w:r>
    </w:p>
    <w:p w14:paraId="414DB6C3" w14:textId="0D10735A"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w:t>
      </w:r>
      <w:r w:rsidR="00C54D4D">
        <w:rPr>
          <w:rFonts w:asciiTheme="minorHAnsi" w:hAnsiTheme="minorHAnsi"/>
          <w:color w:val="auto"/>
          <w:szCs w:val="22"/>
        </w:rPr>
        <w:t>í</w:t>
      </w:r>
      <w:r>
        <w:rPr>
          <w:rFonts w:asciiTheme="minorHAnsi" w:hAnsiTheme="minorHAnsi"/>
          <w:color w:val="auto"/>
          <w:szCs w:val="22"/>
        </w:rPr>
        <w:t xml:space="preserve"> podmínky</w:t>
      </w:r>
    </w:p>
    <w:bookmarkEnd w:id="32"/>
    <w:p w14:paraId="5D6940A3" w14:textId="77777777" w:rsidR="00EA7623" w:rsidRDefault="00EA7623" w:rsidP="005C1633">
      <w:pPr>
        <w:rPr>
          <w:b/>
          <w:color w:val="767171" w:themeColor="background2" w:themeShade="80"/>
          <w:highlight w:val="yellow"/>
        </w:rPr>
      </w:pPr>
    </w:p>
    <w:p w14:paraId="29E19957" w14:textId="77777777" w:rsidR="00690884" w:rsidRPr="008A2743" w:rsidRDefault="00690884" w:rsidP="00C82249">
      <w:pPr>
        <w:pStyle w:val="Odstavecseseznamem"/>
        <w:numPr>
          <w:ilvl w:val="0"/>
          <w:numId w:val="24"/>
        </w:numPr>
        <w:rPr>
          <w:rFonts w:cs="Arial"/>
          <w:bCs/>
        </w:rPr>
      </w:pPr>
      <w:r w:rsidRPr="008A2743">
        <w:rPr>
          <w:rFonts w:cs="Arial"/>
          <w:bCs/>
        </w:rPr>
        <w:t xml:space="preserve">Pro vše ostatní nesjednané touto smlouvou platí níže uvedené Všeobecné obchodní podmínky </w:t>
      </w:r>
      <w:r w:rsidR="00C65DF2">
        <w:rPr>
          <w:rFonts w:cs="Arial"/>
          <w:bCs/>
        </w:rPr>
        <w:t>Prodávajícího</w:t>
      </w:r>
      <w:r w:rsidRPr="008A2743">
        <w:rPr>
          <w:rFonts w:cs="Arial"/>
          <w:bCs/>
        </w:rPr>
        <w:t xml:space="preserve">. </w:t>
      </w:r>
    </w:p>
    <w:p w14:paraId="4EC45634" w14:textId="77777777" w:rsidR="00690884" w:rsidRDefault="00690884" w:rsidP="00C82249">
      <w:pPr>
        <w:pStyle w:val="Odstavecseseznamem"/>
        <w:numPr>
          <w:ilvl w:val="0"/>
          <w:numId w:val="24"/>
        </w:numPr>
        <w:rPr>
          <w:rFonts w:cs="Arial"/>
          <w:bCs/>
        </w:rPr>
      </w:pPr>
      <w:r w:rsidRPr="008A2743">
        <w:rPr>
          <w:rFonts w:cs="Arial"/>
          <w:bCs/>
        </w:rPr>
        <w:t xml:space="preserve">Ujednání stanovená touto Smlouvou mají před ustanoveními, které jsou uvedeny ve Všeobecných obchodních podmínkách </w:t>
      </w:r>
      <w:r w:rsidR="00C65DF2">
        <w:rPr>
          <w:rFonts w:cs="Arial"/>
          <w:bCs/>
        </w:rPr>
        <w:t>Prodávajícího</w:t>
      </w:r>
      <w:r w:rsidR="000F1E80">
        <w:rPr>
          <w:rFonts w:cs="Arial"/>
          <w:bCs/>
        </w:rPr>
        <w:t>,</w:t>
      </w:r>
      <w:r w:rsidRPr="008A2743">
        <w:rPr>
          <w:rFonts w:cs="Arial"/>
          <w:bCs/>
        </w:rPr>
        <w:t xml:space="preserve"> přednost.</w:t>
      </w:r>
    </w:p>
    <w:p w14:paraId="5D2BDA30" w14:textId="77777777" w:rsidR="008A2743" w:rsidRPr="008A2743" w:rsidRDefault="008A2743" w:rsidP="008A2743">
      <w:pPr>
        <w:pStyle w:val="Odstavecseseznamem"/>
        <w:ind w:left="360"/>
        <w:rPr>
          <w:rFonts w:cs="Arial"/>
          <w:bCs/>
        </w:rPr>
      </w:pPr>
    </w:p>
    <w:p w14:paraId="765E4058" w14:textId="77777777" w:rsidR="00690884" w:rsidRDefault="00690884" w:rsidP="005C1633">
      <w:pPr>
        <w:rPr>
          <w:b/>
          <w:color w:val="767171" w:themeColor="background2" w:themeShade="80"/>
          <w:highlight w:val="yellow"/>
        </w:rPr>
      </w:pPr>
      <w:r>
        <w:rPr>
          <w:b/>
          <w:color w:val="767171" w:themeColor="background2" w:themeShade="80"/>
          <w:highlight w:val="yellow"/>
        </w:rPr>
        <w:t xml:space="preserve">Všeobecné obchodní podmínky </w:t>
      </w:r>
      <w:r w:rsidR="00C65DF2">
        <w:rPr>
          <w:b/>
          <w:color w:val="767171" w:themeColor="background2" w:themeShade="80"/>
          <w:highlight w:val="yellow"/>
        </w:rPr>
        <w:t>Prodávajícího</w:t>
      </w:r>
    </w:p>
    <w:p w14:paraId="18D7792A" w14:textId="77777777" w:rsidR="00B469CC" w:rsidRDefault="00923C21" w:rsidP="00690884">
      <w:pPr>
        <w:ind w:left="708"/>
        <w:rPr>
          <w:b/>
          <w:color w:val="767171" w:themeColor="background2" w:themeShade="80"/>
          <w:highlight w:val="yellow"/>
        </w:rPr>
      </w:pPr>
      <w:r>
        <w:rPr>
          <w:b/>
          <w:color w:val="767171" w:themeColor="background2" w:themeShade="80"/>
          <w:highlight w:val="yellow"/>
        </w:rPr>
        <w:t xml:space="preserve">Prodávající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viz. výše)</w:t>
      </w:r>
      <w:r w:rsidR="00B469CC">
        <w:rPr>
          <w:b/>
          <w:color w:val="767171" w:themeColor="background2" w:themeShade="80"/>
          <w:highlight w:val="yellow"/>
        </w:rPr>
        <w:t>.</w:t>
      </w:r>
    </w:p>
    <w:p w14:paraId="1D500A37" w14:textId="77777777"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22A49E2C" w14:textId="77777777" w:rsidR="00690884" w:rsidRDefault="00690884" w:rsidP="00690884">
      <w:pPr>
        <w:ind w:left="708"/>
        <w:rPr>
          <w:b/>
          <w:color w:val="767171" w:themeColor="background2" w:themeShade="80"/>
        </w:rPr>
      </w:pPr>
    </w:p>
    <w:p w14:paraId="2054CEAF" w14:textId="77777777" w:rsidR="00690884" w:rsidRDefault="00690884" w:rsidP="005C1633">
      <w:pPr>
        <w:rPr>
          <w:color w:val="767171" w:themeColor="background2" w:themeShade="80"/>
        </w:rPr>
      </w:pPr>
    </w:p>
    <w:p w14:paraId="7089DB19" w14:textId="77777777" w:rsidR="00937F9B" w:rsidRPr="007C5DB2" w:rsidRDefault="00937F9B" w:rsidP="005C1633">
      <w:pPr>
        <w:rPr>
          <w:color w:val="767171" w:themeColor="background2" w:themeShade="80"/>
        </w:rPr>
      </w:pPr>
    </w:p>
    <w:p w14:paraId="73A751E1" w14:textId="77777777" w:rsidR="00344274" w:rsidRPr="007C5DB2" w:rsidRDefault="00344274">
      <w:pPr>
        <w:rPr>
          <w:color w:val="767171" w:themeColor="background2" w:themeShade="80"/>
        </w:rPr>
      </w:pPr>
    </w:p>
    <w:sectPr w:rsidR="00344274" w:rsidRPr="007C5DB2" w:rsidSect="002D45B1">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FA096" w14:textId="77777777" w:rsidR="00AC681A" w:rsidRDefault="00AC681A" w:rsidP="00401355">
      <w:pPr>
        <w:spacing w:after="0" w:line="240" w:lineRule="auto"/>
      </w:pPr>
      <w:r>
        <w:separator/>
      </w:r>
    </w:p>
  </w:endnote>
  <w:endnote w:type="continuationSeparator" w:id="0">
    <w:p w14:paraId="7A1D2995" w14:textId="77777777" w:rsidR="00AC681A" w:rsidRDefault="00AC681A"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2B1A" w14:textId="77777777" w:rsidR="00380D3B" w:rsidRPr="00DE01BC" w:rsidRDefault="00380D3B">
    <w:pPr>
      <w:pStyle w:val="Zpat"/>
      <w:jc w:val="center"/>
      <w:rPr>
        <w:sz w:val="16"/>
      </w:rPr>
    </w:pPr>
  </w:p>
  <w:p w14:paraId="77694328"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1C425703"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7352F" w14:textId="77777777" w:rsidR="00AC681A" w:rsidRDefault="00AC681A" w:rsidP="00401355">
      <w:pPr>
        <w:spacing w:after="0" w:line="240" w:lineRule="auto"/>
      </w:pPr>
      <w:r>
        <w:separator/>
      </w:r>
    </w:p>
  </w:footnote>
  <w:footnote w:type="continuationSeparator" w:id="0">
    <w:p w14:paraId="6AD9EAD8" w14:textId="77777777" w:rsidR="00AC681A" w:rsidRDefault="00AC681A"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2C146" w14:textId="77777777" w:rsidR="00E71EFC" w:rsidRDefault="00F47826" w:rsidP="008B2ED7">
    <w:pPr>
      <w:spacing w:after="0"/>
    </w:pPr>
    <w:r>
      <w:rPr>
        <w:noProof/>
      </w:rPr>
      <w:drawing>
        <wp:anchor distT="0" distB="0" distL="114300" distR="114300" simplePos="0" relativeHeight="251659264" behindDoc="0" locked="0" layoutInCell="1" allowOverlap="1" wp14:anchorId="68791BB8" wp14:editId="540195C3">
          <wp:simplePos x="0" y="0"/>
          <wp:positionH relativeFrom="margin">
            <wp:align>right</wp:align>
          </wp:positionH>
          <wp:positionV relativeFrom="paragraph">
            <wp:posOffset>-284537</wp:posOffset>
          </wp:positionV>
          <wp:extent cx="2145600" cy="576000"/>
          <wp:effectExtent l="0" t="0" r="7620" b="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5600" cy="5760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7E4D6069"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27931035" o:spid="_x0000_i1025" type="#_x0000_t75" style="width:28.6pt;height:35.1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F10692"/>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FB56B1"/>
    <w:multiLevelType w:val="hybridMultilevel"/>
    <w:tmpl w:val="1490277E"/>
    <w:lvl w:ilvl="0" w:tplc="040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0805F6"/>
    <w:multiLevelType w:val="multilevel"/>
    <w:tmpl w:val="0405001F"/>
    <w:lvl w:ilvl="0">
      <w:start w:val="1"/>
      <w:numFmt w:val="decimal"/>
      <w:lvlText w:val="%1."/>
      <w:lvlJc w:val="left"/>
      <w:pPr>
        <w:ind w:left="135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7"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6"/>
  </w:num>
  <w:num w:numId="2" w16cid:durableId="1739135583">
    <w:abstractNumId w:val="37"/>
  </w:num>
  <w:num w:numId="3" w16cid:durableId="1503936356">
    <w:abstractNumId w:val="33"/>
  </w:num>
  <w:num w:numId="4" w16cid:durableId="1870485331">
    <w:abstractNumId w:val="31"/>
  </w:num>
  <w:num w:numId="5" w16cid:durableId="668945143">
    <w:abstractNumId w:val="9"/>
  </w:num>
  <w:num w:numId="6" w16cid:durableId="2146922896">
    <w:abstractNumId w:val="38"/>
  </w:num>
  <w:num w:numId="7" w16cid:durableId="673648168">
    <w:abstractNumId w:val="22"/>
  </w:num>
  <w:num w:numId="8" w16cid:durableId="2029061362">
    <w:abstractNumId w:val="10"/>
  </w:num>
  <w:num w:numId="9" w16cid:durableId="1011299019">
    <w:abstractNumId w:val="20"/>
  </w:num>
  <w:num w:numId="10" w16cid:durableId="1552770794">
    <w:abstractNumId w:val="18"/>
  </w:num>
  <w:num w:numId="11" w16cid:durableId="89737261">
    <w:abstractNumId w:val="32"/>
  </w:num>
  <w:num w:numId="12" w16cid:durableId="620645308">
    <w:abstractNumId w:val="27"/>
  </w:num>
  <w:num w:numId="13" w16cid:durableId="327102716">
    <w:abstractNumId w:val="17"/>
  </w:num>
  <w:num w:numId="14" w16cid:durableId="475072913">
    <w:abstractNumId w:val="15"/>
  </w:num>
  <w:num w:numId="15" w16cid:durableId="561138510">
    <w:abstractNumId w:val="29"/>
  </w:num>
  <w:num w:numId="16" w16cid:durableId="1564680103">
    <w:abstractNumId w:val="28"/>
  </w:num>
  <w:num w:numId="17" w16cid:durableId="1420250024">
    <w:abstractNumId w:val="24"/>
  </w:num>
  <w:num w:numId="18" w16cid:durableId="1167210548">
    <w:abstractNumId w:val="8"/>
  </w:num>
  <w:num w:numId="19" w16cid:durableId="1578053145">
    <w:abstractNumId w:val="40"/>
  </w:num>
  <w:num w:numId="20" w16cid:durableId="640690179">
    <w:abstractNumId w:val="12"/>
  </w:num>
  <w:num w:numId="21" w16cid:durableId="2038432929">
    <w:abstractNumId w:val="41"/>
  </w:num>
  <w:num w:numId="22" w16cid:durableId="1626959486">
    <w:abstractNumId w:val="14"/>
  </w:num>
  <w:num w:numId="23" w16cid:durableId="1622150182">
    <w:abstractNumId w:val="11"/>
  </w:num>
  <w:num w:numId="24" w16cid:durableId="2125683674">
    <w:abstractNumId w:val="25"/>
  </w:num>
  <w:num w:numId="25" w16cid:durableId="518007107">
    <w:abstractNumId w:val="1"/>
  </w:num>
  <w:num w:numId="26" w16cid:durableId="1895191151">
    <w:abstractNumId w:val="39"/>
  </w:num>
  <w:num w:numId="27" w16cid:durableId="750082912">
    <w:abstractNumId w:val="13"/>
  </w:num>
  <w:num w:numId="28" w16cid:durableId="652178020">
    <w:abstractNumId w:val="35"/>
  </w:num>
  <w:num w:numId="29" w16cid:durableId="372122038">
    <w:abstractNumId w:val="2"/>
  </w:num>
  <w:num w:numId="30" w16cid:durableId="949238260">
    <w:abstractNumId w:val="30"/>
  </w:num>
  <w:num w:numId="31" w16cid:durableId="444155777">
    <w:abstractNumId w:val="26"/>
  </w:num>
  <w:num w:numId="32" w16cid:durableId="661202682">
    <w:abstractNumId w:val="0"/>
  </w:num>
  <w:num w:numId="33" w16cid:durableId="1338312391">
    <w:abstractNumId w:val="16"/>
  </w:num>
  <w:num w:numId="34" w16cid:durableId="1990817500">
    <w:abstractNumId w:val="5"/>
  </w:num>
  <w:num w:numId="35" w16cid:durableId="814298672">
    <w:abstractNumId w:val="19"/>
  </w:num>
  <w:num w:numId="36" w16cid:durableId="266353770">
    <w:abstractNumId w:val="34"/>
  </w:num>
  <w:num w:numId="37" w16cid:durableId="633683131">
    <w:abstractNumId w:val="23"/>
  </w:num>
  <w:num w:numId="38" w16cid:durableId="803542197">
    <w:abstractNumId w:val="36"/>
  </w:num>
  <w:num w:numId="39" w16cid:durableId="762921394">
    <w:abstractNumId w:val="21"/>
  </w:num>
  <w:num w:numId="40" w16cid:durableId="1095397089">
    <w:abstractNumId w:val="7"/>
  </w:num>
  <w:num w:numId="41" w16cid:durableId="1216694453">
    <w:abstractNumId w:val="3"/>
  </w:num>
  <w:num w:numId="42" w16cid:durableId="444621400">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62834"/>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354"/>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E5C58"/>
    <w:rsid w:val="001F1AB6"/>
    <w:rsid w:val="00201B10"/>
    <w:rsid w:val="002026BC"/>
    <w:rsid w:val="002038DB"/>
    <w:rsid w:val="002043AC"/>
    <w:rsid w:val="002048FB"/>
    <w:rsid w:val="00204B00"/>
    <w:rsid w:val="0020707F"/>
    <w:rsid w:val="00207C71"/>
    <w:rsid w:val="00212980"/>
    <w:rsid w:val="0021306B"/>
    <w:rsid w:val="00216B26"/>
    <w:rsid w:val="00216C78"/>
    <w:rsid w:val="00217056"/>
    <w:rsid w:val="00220953"/>
    <w:rsid w:val="00223CC3"/>
    <w:rsid w:val="00224094"/>
    <w:rsid w:val="00227D6C"/>
    <w:rsid w:val="00241E82"/>
    <w:rsid w:val="0024684A"/>
    <w:rsid w:val="002527F3"/>
    <w:rsid w:val="0025293A"/>
    <w:rsid w:val="0025678A"/>
    <w:rsid w:val="00265C23"/>
    <w:rsid w:val="002669C6"/>
    <w:rsid w:val="00271949"/>
    <w:rsid w:val="00275747"/>
    <w:rsid w:val="002771D7"/>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45B1"/>
    <w:rsid w:val="002D70C8"/>
    <w:rsid w:val="002E235E"/>
    <w:rsid w:val="002E6964"/>
    <w:rsid w:val="002E6AD9"/>
    <w:rsid w:val="002E6E4F"/>
    <w:rsid w:val="002E7365"/>
    <w:rsid w:val="002E746B"/>
    <w:rsid w:val="003007B4"/>
    <w:rsid w:val="00301B43"/>
    <w:rsid w:val="00302C86"/>
    <w:rsid w:val="00303A1F"/>
    <w:rsid w:val="00303B87"/>
    <w:rsid w:val="00304A16"/>
    <w:rsid w:val="003053BD"/>
    <w:rsid w:val="00310D34"/>
    <w:rsid w:val="00312B24"/>
    <w:rsid w:val="00312DC5"/>
    <w:rsid w:val="00312FBE"/>
    <w:rsid w:val="003212E2"/>
    <w:rsid w:val="003220A8"/>
    <w:rsid w:val="00322B36"/>
    <w:rsid w:val="00323481"/>
    <w:rsid w:val="0032400D"/>
    <w:rsid w:val="00325829"/>
    <w:rsid w:val="003330BC"/>
    <w:rsid w:val="00334408"/>
    <w:rsid w:val="003369B8"/>
    <w:rsid w:val="00344274"/>
    <w:rsid w:val="00345D41"/>
    <w:rsid w:val="003463AA"/>
    <w:rsid w:val="00351CC7"/>
    <w:rsid w:val="00352F7F"/>
    <w:rsid w:val="0035440D"/>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760B"/>
    <w:rsid w:val="00440248"/>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225C"/>
    <w:rsid w:val="00583785"/>
    <w:rsid w:val="0058593F"/>
    <w:rsid w:val="00587198"/>
    <w:rsid w:val="00587EF1"/>
    <w:rsid w:val="00591F8A"/>
    <w:rsid w:val="00592E8E"/>
    <w:rsid w:val="00592F36"/>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5B4"/>
    <w:rsid w:val="00600717"/>
    <w:rsid w:val="00605F50"/>
    <w:rsid w:val="00606388"/>
    <w:rsid w:val="00606DA8"/>
    <w:rsid w:val="00611E40"/>
    <w:rsid w:val="00613308"/>
    <w:rsid w:val="00613AE5"/>
    <w:rsid w:val="00616E4A"/>
    <w:rsid w:val="00633A78"/>
    <w:rsid w:val="006340B6"/>
    <w:rsid w:val="0063740C"/>
    <w:rsid w:val="00640A13"/>
    <w:rsid w:val="00641A01"/>
    <w:rsid w:val="00642711"/>
    <w:rsid w:val="00646339"/>
    <w:rsid w:val="0064699E"/>
    <w:rsid w:val="00646CE5"/>
    <w:rsid w:val="00651661"/>
    <w:rsid w:val="006577F1"/>
    <w:rsid w:val="00657EB4"/>
    <w:rsid w:val="00666930"/>
    <w:rsid w:val="00671D96"/>
    <w:rsid w:val="00672363"/>
    <w:rsid w:val="006726F5"/>
    <w:rsid w:val="0067560F"/>
    <w:rsid w:val="006823D3"/>
    <w:rsid w:val="00683922"/>
    <w:rsid w:val="0068487D"/>
    <w:rsid w:val="006869C6"/>
    <w:rsid w:val="00690884"/>
    <w:rsid w:val="00694AB8"/>
    <w:rsid w:val="00695AA6"/>
    <w:rsid w:val="0069694E"/>
    <w:rsid w:val="00696BC8"/>
    <w:rsid w:val="006A0C86"/>
    <w:rsid w:val="006A3686"/>
    <w:rsid w:val="006A3906"/>
    <w:rsid w:val="006A4306"/>
    <w:rsid w:val="006A6FAD"/>
    <w:rsid w:val="006C0D3A"/>
    <w:rsid w:val="006C1952"/>
    <w:rsid w:val="006C1D85"/>
    <w:rsid w:val="006C6B36"/>
    <w:rsid w:val="006C6BD0"/>
    <w:rsid w:val="006C73AC"/>
    <w:rsid w:val="006D3B74"/>
    <w:rsid w:val="006D71D3"/>
    <w:rsid w:val="006E2CED"/>
    <w:rsid w:val="006E37FE"/>
    <w:rsid w:val="006E62B1"/>
    <w:rsid w:val="006E74C8"/>
    <w:rsid w:val="006F01B5"/>
    <w:rsid w:val="006F64B7"/>
    <w:rsid w:val="0070211D"/>
    <w:rsid w:val="00702DCC"/>
    <w:rsid w:val="00704C78"/>
    <w:rsid w:val="0071000F"/>
    <w:rsid w:val="007109B7"/>
    <w:rsid w:val="00716028"/>
    <w:rsid w:val="00716225"/>
    <w:rsid w:val="00720826"/>
    <w:rsid w:val="007217E7"/>
    <w:rsid w:val="00721DE3"/>
    <w:rsid w:val="007223DD"/>
    <w:rsid w:val="00725D19"/>
    <w:rsid w:val="00732482"/>
    <w:rsid w:val="00736BD1"/>
    <w:rsid w:val="00742F61"/>
    <w:rsid w:val="00743B30"/>
    <w:rsid w:val="00745F78"/>
    <w:rsid w:val="00747F9B"/>
    <w:rsid w:val="007524B3"/>
    <w:rsid w:val="0075284F"/>
    <w:rsid w:val="007532D1"/>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51D0"/>
    <w:rsid w:val="008175A4"/>
    <w:rsid w:val="00820273"/>
    <w:rsid w:val="008237BC"/>
    <w:rsid w:val="00833D7D"/>
    <w:rsid w:val="008364A0"/>
    <w:rsid w:val="008376F5"/>
    <w:rsid w:val="00837FDD"/>
    <w:rsid w:val="00842BE8"/>
    <w:rsid w:val="008431CA"/>
    <w:rsid w:val="00843837"/>
    <w:rsid w:val="0084485A"/>
    <w:rsid w:val="00844A39"/>
    <w:rsid w:val="008527E2"/>
    <w:rsid w:val="00854292"/>
    <w:rsid w:val="00857815"/>
    <w:rsid w:val="00857D09"/>
    <w:rsid w:val="00862216"/>
    <w:rsid w:val="00863042"/>
    <w:rsid w:val="00863EC7"/>
    <w:rsid w:val="008645AE"/>
    <w:rsid w:val="0086656D"/>
    <w:rsid w:val="008677B1"/>
    <w:rsid w:val="008766DA"/>
    <w:rsid w:val="008840FC"/>
    <w:rsid w:val="0088513B"/>
    <w:rsid w:val="008851AA"/>
    <w:rsid w:val="008911CA"/>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342F"/>
    <w:rsid w:val="00904800"/>
    <w:rsid w:val="00904AAB"/>
    <w:rsid w:val="009126D1"/>
    <w:rsid w:val="00916A73"/>
    <w:rsid w:val="00923C21"/>
    <w:rsid w:val="009264A9"/>
    <w:rsid w:val="009269D1"/>
    <w:rsid w:val="00927725"/>
    <w:rsid w:val="00927841"/>
    <w:rsid w:val="009305D5"/>
    <w:rsid w:val="00931DFE"/>
    <w:rsid w:val="009322F1"/>
    <w:rsid w:val="00936B4B"/>
    <w:rsid w:val="00937683"/>
    <w:rsid w:val="00937F9B"/>
    <w:rsid w:val="00940C53"/>
    <w:rsid w:val="00941233"/>
    <w:rsid w:val="00943E2F"/>
    <w:rsid w:val="009461FC"/>
    <w:rsid w:val="00956CC3"/>
    <w:rsid w:val="009572E7"/>
    <w:rsid w:val="00957F22"/>
    <w:rsid w:val="009651BA"/>
    <w:rsid w:val="009810E4"/>
    <w:rsid w:val="00984F5A"/>
    <w:rsid w:val="00990AA2"/>
    <w:rsid w:val="00994C84"/>
    <w:rsid w:val="009A31DE"/>
    <w:rsid w:val="009A5E76"/>
    <w:rsid w:val="009B1090"/>
    <w:rsid w:val="009B2FE8"/>
    <w:rsid w:val="009B634D"/>
    <w:rsid w:val="009C088C"/>
    <w:rsid w:val="009C19C2"/>
    <w:rsid w:val="009E32ED"/>
    <w:rsid w:val="009E3B75"/>
    <w:rsid w:val="009E592C"/>
    <w:rsid w:val="009E6F35"/>
    <w:rsid w:val="009E7AA3"/>
    <w:rsid w:val="009F0604"/>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95A2D"/>
    <w:rsid w:val="00AA5E80"/>
    <w:rsid w:val="00AA7B64"/>
    <w:rsid w:val="00AB0356"/>
    <w:rsid w:val="00AB134D"/>
    <w:rsid w:val="00AB69A6"/>
    <w:rsid w:val="00AC04F8"/>
    <w:rsid w:val="00AC589A"/>
    <w:rsid w:val="00AC681A"/>
    <w:rsid w:val="00AD5D0B"/>
    <w:rsid w:val="00AD66B2"/>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2203"/>
    <w:rsid w:val="00BA2B67"/>
    <w:rsid w:val="00BA3785"/>
    <w:rsid w:val="00BA3E13"/>
    <w:rsid w:val="00BB18EA"/>
    <w:rsid w:val="00BB2375"/>
    <w:rsid w:val="00BB23B6"/>
    <w:rsid w:val="00BC0384"/>
    <w:rsid w:val="00BC043B"/>
    <w:rsid w:val="00BC0CBB"/>
    <w:rsid w:val="00BC2687"/>
    <w:rsid w:val="00BC32E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2CD4"/>
    <w:rsid w:val="00C33B4F"/>
    <w:rsid w:val="00C4281A"/>
    <w:rsid w:val="00C44B58"/>
    <w:rsid w:val="00C5103B"/>
    <w:rsid w:val="00C5158F"/>
    <w:rsid w:val="00C5230D"/>
    <w:rsid w:val="00C52509"/>
    <w:rsid w:val="00C535CF"/>
    <w:rsid w:val="00C54D4D"/>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22F2"/>
    <w:rsid w:val="00D04AD0"/>
    <w:rsid w:val="00D04F7D"/>
    <w:rsid w:val="00D06309"/>
    <w:rsid w:val="00D06F09"/>
    <w:rsid w:val="00D0706F"/>
    <w:rsid w:val="00D15E19"/>
    <w:rsid w:val="00D16146"/>
    <w:rsid w:val="00D24040"/>
    <w:rsid w:val="00D312F9"/>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557C"/>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B54AE"/>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1179"/>
    <w:rsid w:val="00E03EBA"/>
    <w:rsid w:val="00E07883"/>
    <w:rsid w:val="00E1334E"/>
    <w:rsid w:val="00E1436A"/>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29D5"/>
    <w:rsid w:val="00E769DC"/>
    <w:rsid w:val="00E80F3C"/>
    <w:rsid w:val="00E813FE"/>
    <w:rsid w:val="00E81496"/>
    <w:rsid w:val="00E81EA6"/>
    <w:rsid w:val="00E84049"/>
    <w:rsid w:val="00E903F2"/>
    <w:rsid w:val="00E90BB3"/>
    <w:rsid w:val="00E914D3"/>
    <w:rsid w:val="00EA0125"/>
    <w:rsid w:val="00EA2E29"/>
    <w:rsid w:val="00EA7623"/>
    <w:rsid w:val="00EB25EC"/>
    <w:rsid w:val="00EB434D"/>
    <w:rsid w:val="00EB56CE"/>
    <w:rsid w:val="00EB5854"/>
    <w:rsid w:val="00EC28C7"/>
    <w:rsid w:val="00EC5A05"/>
    <w:rsid w:val="00ED0604"/>
    <w:rsid w:val="00ED2BF5"/>
    <w:rsid w:val="00ED34A1"/>
    <w:rsid w:val="00ED3EF3"/>
    <w:rsid w:val="00EE1071"/>
    <w:rsid w:val="00EE4AB9"/>
    <w:rsid w:val="00EE7FB3"/>
    <w:rsid w:val="00EF6E2D"/>
    <w:rsid w:val="00EF7BCB"/>
    <w:rsid w:val="00EF7D70"/>
    <w:rsid w:val="00F01A96"/>
    <w:rsid w:val="00F04262"/>
    <w:rsid w:val="00F04D99"/>
    <w:rsid w:val="00F10BA5"/>
    <w:rsid w:val="00F10F49"/>
    <w:rsid w:val="00F11909"/>
    <w:rsid w:val="00F12F6D"/>
    <w:rsid w:val="00F132C9"/>
    <w:rsid w:val="00F1432C"/>
    <w:rsid w:val="00F14CFE"/>
    <w:rsid w:val="00F17646"/>
    <w:rsid w:val="00F267F3"/>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2DF4"/>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65F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9541F"/>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denek.darmovzal@nempk.cz" TargetMode="External"/><Relationship Id="rId4" Type="http://schemas.openxmlformats.org/officeDocument/2006/relationships/settings" Target="settings.xml"/><Relationship Id="rId9" Type="http://schemas.openxmlformats.org/officeDocument/2006/relationships/hyperlink" Target="mailto:tomas.janata@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2076C2"/>
    <w:rsid w:val="00212980"/>
    <w:rsid w:val="003463AA"/>
    <w:rsid w:val="00385E3E"/>
    <w:rsid w:val="003A4256"/>
    <w:rsid w:val="00430625"/>
    <w:rsid w:val="004A6185"/>
    <w:rsid w:val="004C4370"/>
    <w:rsid w:val="00503B6E"/>
    <w:rsid w:val="005740E3"/>
    <w:rsid w:val="005F2AF6"/>
    <w:rsid w:val="00657E73"/>
    <w:rsid w:val="00660E62"/>
    <w:rsid w:val="0071000F"/>
    <w:rsid w:val="00716028"/>
    <w:rsid w:val="0079389A"/>
    <w:rsid w:val="007A2407"/>
    <w:rsid w:val="007A5DC8"/>
    <w:rsid w:val="008151D0"/>
    <w:rsid w:val="008F6B32"/>
    <w:rsid w:val="0090342F"/>
    <w:rsid w:val="00927841"/>
    <w:rsid w:val="009810E4"/>
    <w:rsid w:val="009870AD"/>
    <w:rsid w:val="00A902EA"/>
    <w:rsid w:val="00B076F5"/>
    <w:rsid w:val="00BA3785"/>
    <w:rsid w:val="00BE137F"/>
    <w:rsid w:val="00C279CE"/>
    <w:rsid w:val="00C42913"/>
    <w:rsid w:val="00CE1919"/>
    <w:rsid w:val="00D06309"/>
    <w:rsid w:val="00D7557C"/>
    <w:rsid w:val="00DC070E"/>
    <w:rsid w:val="00E01179"/>
    <w:rsid w:val="00E82364"/>
    <w:rsid w:val="00E84C5B"/>
    <w:rsid w:val="00EF7D70"/>
    <w:rsid w:val="00FA016B"/>
    <w:rsid w:val="00FB5A44"/>
    <w:rsid w:val="00FE0D35"/>
    <w:rsid w:val="00FE7F76"/>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21</Pages>
  <Words>6262</Words>
  <Characters>38202</Characters>
  <Application>Microsoft Office Word</Application>
  <DocSecurity>0</DocSecurity>
  <Lines>720</Lines>
  <Paragraphs>367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21</cp:revision>
  <cp:lastPrinted>2018-03-20T09:42:00Z</cp:lastPrinted>
  <dcterms:created xsi:type="dcterms:W3CDTF">2026-01-27T13:54:00Z</dcterms:created>
  <dcterms:modified xsi:type="dcterms:W3CDTF">2026-02-17T22:50:00Z</dcterms:modified>
</cp:coreProperties>
</file>